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06" w:rsidRPr="00846DCD" w:rsidRDefault="00846DCD" w:rsidP="00846DCD">
      <w:pPr>
        <w:pStyle w:val="Geenafstand"/>
        <w:jc w:val="center"/>
        <w:rPr>
          <w:b/>
          <w:sz w:val="28"/>
          <w:szCs w:val="28"/>
        </w:rPr>
      </w:pPr>
      <w:r w:rsidRPr="00846DCD">
        <w:rPr>
          <w:b/>
          <w:sz w:val="28"/>
          <w:szCs w:val="28"/>
        </w:rPr>
        <w:t>Emissie inventaris rapport</w:t>
      </w: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E25E2C" w:rsidP="00E25E2C">
      <w:pPr>
        <w:pStyle w:val="Geenafstand"/>
        <w:jc w:val="center"/>
        <w:rPr>
          <w:b/>
        </w:rPr>
      </w:pPr>
      <w:r>
        <w:rPr>
          <w:noProof/>
        </w:rPr>
        <w:drawing>
          <wp:inline distT="0" distB="0" distL="0" distR="0">
            <wp:extent cx="3124200" cy="990600"/>
            <wp:effectExtent l="0" t="0" r="0" b="0"/>
            <wp:docPr id="2" name="Afbeelding 2" descr="Van Boxmeer | Natuur- en landschapsbeheer | GWW | Cultuurtechniek en 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Boxmeer | Natuur- en landschapsbeheer | GWW | Cultuurtechniek en A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990600"/>
                    </a:xfrm>
                    <a:prstGeom prst="rect">
                      <a:avLst/>
                    </a:prstGeom>
                    <a:noFill/>
                    <a:ln>
                      <a:noFill/>
                    </a:ln>
                  </pic:spPr>
                </pic:pic>
              </a:graphicData>
            </a:graphic>
          </wp:inline>
        </w:drawing>
      </w: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p w:rsidR="00846DCD" w:rsidRDefault="00846DCD" w:rsidP="00AA6E37">
      <w:pPr>
        <w:pStyle w:val="Geenafstand"/>
        <w:rPr>
          <w:b/>
        </w:rPr>
      </w:pPr>
    </w:p>
    <w:sdt>
      <w:sdtPr>
        <w:rPr>
          <w:rFonts w:ascii="Calibri" w:eastAsiaTheme="minorHAnsi" w:hAnsi="Calibri" w:cstheme="minorBidi"/>
          <w:color w:val="0B3B60"/>
          <w:sz w:val="22"/>
          <w:szCs w:val="22"/>
          <w:lang w:eastAsia="en-US"/>
        </w:rPr>
        <w:id w:val="-1012073116"/>
        <w:docPartObj>
          <w:docPartGallery w:val="Table of Contents"/>
          <w:docPartUnique/>
        </w:docPartObj>
      </w:sdtPr>
      <w:sdtEndPr>
        <w:rPr>
          <w:b/>
          <w:bCs/>
        </w:rPr>
      </w:sdtEndPr>
      <w:sdtContent>
        <w:p w:rsidR="00846DCD" w:rsidRDefault="00846DCD">
          <w:pPr>
            <w:pStyle w:val="Kopvaninhoudsopgave"/>
          </w:pPr>
        </w:p>
        <w:p w:rsidR="008413D4" w:rsidRDefault="00846DCD">
          <w:pPr>
            <w:pStyle w:val="Inhopg1"/>
            <w:tabs>
              <w:tab w:val="left" w:pos="440"/>
              <w:tab w:val="right" w:leader="dot" w:pos="9062"/>
            </w:tabs>
            <w:rPr>
              <w:rFonts w:asciiTheme="minorHAnsi" w:eastAsiaTheme="minorEastAsia" w:hAnsiTheme="minorHAnsi"/>
              <w:noProof/>
              <w:color w:val="auto"/>
              <w:lang w:eastAsia="nl-NL"/>
            </w:rPr>
          </w:pPr>
          <w:r>
            <w:fldChar w:fldCharType="begin"/>
          </w:r>
          <w:r>
            <w:instrText xml:space="preserve"> TOC \o "1-3" \h \z \u </w:instrText>
          </w:r>
          <w:r>
            <w:fldChar w:fldCharType="separate"/>
          </w:r>
          <w:hyperlink w:anchor="_Toc71641564" w:history="1">
            <w:r w:rsidR="008413D4" w:rsidRPr="009C17D6">
              <w:rPr>
                <w:rStyle w:val="Hyperlink"/>
                <w:noProof/>
              </w:rPr>
              <w:t>1.</w:t>
            </w:r>
            <w:r w:rsidR="008413D4">
              <w:rPr>
                <w:rFonts w:asciiTheme="minorHAnsi" w:eastAsiaTheme="minorEastAsia" w:hAnsiTheme="minorHAnsi"/>
                <w:noProof/>
                <w:color w:val="auto"/>
                <w:lang w:eastAsia="nl-NL"/>
              </w:rPr>
              <w:tab/>
            </w:r>
            <w:r w:rsidR="008413D4" w:rsidRPr="009C17D6">
              <w:rPr>
                <w:rStyle w:val="Hyperlink"/>
                <w:noProof/>
              </w:rPr>
              <w:t>Inleiding en verantwoording</w:t>
            </w:r>
            <w:r w:rsidR="008413D4">
              <w:rPr>
                <w:noProof/>
                <w:webHidden/>
              </w:rPr>
              <w:tab/>
            </w:r>
            <w:r w:rsidR="008413D4">
              <w:rPr>
                <w:noProof/>
                <w:webHidden/>
              </w:rPr>
              <w:fldChar w:fldCharType="begin"/>
            </w:r>
            <w:r w:rsidR="008413D4">
              <w:rPr>
                <w:noProof/>
                <w:webHidden/>
              </w:rPr>
              <w:instrText xml:space="preserve"> PAGEREF _Toc71641564 \h </w:instrText>
            </w:r>
            <w:r w:rsidR="008413D4">
              <w:rPr>
                <w:noProof/>
                <w:webHidden/>
              </w:rPr>
            </w:r>
            <w:r w:rsidR="008413D4">
              <w:rPr>
                <w:noProof/>
                <w:webHidden/>
              </w:rPr>
              <w:fldChar w:fldCharType="separate"/>
            </w:r>
            <w:r w:rsidR="00F76E6A">
              <w:rPr>
                <w:noProof/>
                <w:webHidden/>
              </w:rPr>
              <w:t>2</w:t>
            </w:r>
            <w:r w:rsidR="008413D4">
              <w:rPr>
                <w:noProof/>
                <w:webHidden/>
              </w:rPr>
              <w:fldChar w:fldCharType="end"/>
            </w:r>
          </w:hyperlink>
        </w:p>
        <w:p w:rsidR="008413D4" w:rsidRDefault="007B6027">
          <w:pPr>
            <w:pStyle w:val="Inhopg1"/>
            <w:tabs>
              <w:tab w:val="left" w:pos="440"/>
              <w:tab w:val="right" w:leader="dot" w:pos="9062"/>
            </w:tabs>
            <w:rPr>
              <w:rFonts w:asciiTheme="minorHAnsi" w:eastAsiaTheme="minorEastAsia" w:hAnsiTheme="minorHAnsi"/>
              <w:noProof/>
              <w:color w:val="auto"/>
              <w:lang w:eastAsia="nl-NL"/>
            </w:rPr>
          </w:pPr>
          <w:hyperlink w:anchor="_Toc71641565" w:history="1">
            <w:r w:rsidR="008413D4" w:rsidRPr="009C17D6">
              <w:rPr>
                <w:rStyle w:val="Hyperlink"/>
                <w:noProof/>
              </w:rPr>
              <w:t>2.</w:t>
            </w:r>
            <w:r w:rsidR="008413D4">
              <w:rPr>
                <w:rFonts w:asciiTheme="minorHAnsi" w:eastAsiaTheme="minorEastAsia" w:hAnsiTheme="minorHAnsi"/>
                <w:noProof/>
                <w:color w:val="auto"/>
                <w:lang w:eastAsia="nl-NL"/>
              </w:rPr>
              <w:tab/>
            </w:r>
            <w:r w:rsidR="008413D4" w:rsidRPr="009C17D6">
              <w:rPr>
                <w:rStyle w:val="Hyperlink"/>
                <w:noProof/>
              </w:rPr>
              <w:t>Beschrijving van de organisatie</w:t>
            </w:r>
            <w:r w:rsidR="008413D4">
              <w:rPr>
                <w:noProof/>
                <w:webHidden/>
              </w:rPr>
              <w:tab/>
            </w:r>
            <w:r w:rsidR="008413D4">
              <w:rPr>
                <w:noProof/>
                <w:webHidden/>
              </w:rPr>
              <w:fldChar w:fldCharType="begin"/>
            </w:r>
            <w:r w:rsidR="008413D4">
              <w:rPr>
                <w:noProof/>
                <w:webHidden/>
              </w:rPr>
              <w:instrText xml:space="preserve"> PAGEREF _Toc71641565 \h </w:instrText>
            </w:r>
            <w:r w:rsidR="008413D4">
              <w:rPr>
                <w:noProof/>
                <w:webHidden/>
              </w:rPr>
            </w:r>
            <w:r w:rsidR="008413D4">
              <w:rPr>
                <w:noProof/>
                <w:webHidden/>
              </w:rPr>
              <w:fldChar w:fldCharType="separate"/>
            </w:r>
            <w:r w:rsidR="00F76E6A">
              <w:rPr>
                <w:noProof/>
                <w:webHidden/>
              </w:rPr>
              <w:t>2</w:t>
            </w:r>
            <w:r w:rsidR="008413D4">
              <w:rPr>
                <w:noProof/>
                <w:webHidden/>
              </w:rPr>
              <w:fldChar w:fldCharType="end"/>
            </w:r>
          </w:hyperlink>
        </w:p>
        <w:p w:rsidR="008413D4" w:rsidRDefault="007B6027">
          <w:pPr>
            <w:pStyle w:val="Inhopg1"/>
            <w:tabs>
              <w:tab w:val="left" w:pos="440"/>
              <w:tab w:val="right" w:leader="dot" w:pos="9062"/>
            </w:tabs>
            <w:rPr>
              <w:rFonts w:asciiTheme="minorHAnsi" w:eastAsiaTheme="minorEastAsia" w:hAnsiTheme="minorHAnsi"/>
              <w:noProof/>
              <w:color w:val="auto"/>
              <w:lang w:eastAsia="nl-NL"/>
            </w:rPr>
          </w:pPr>
          <w:hyperlink w:anchor="_Toc71641566" w:history="1">
            <w:r w:rsidR="008413D4" w:rsidRPr="009C17D6">
              <w:rPr>
                <w:rStyle w:val="Hyperlink"/>
                <w:noProof/>
              </w:rPr>
              <w:t>3.</w:t>
            </w:r>
            <w:r w:rsidR="008413D4">
              <w:rPr>
                <w:rFonts w:asciiTheme="minorHAnsi" w:eastAsiaTheme="minorEastAsia" w:hAnsiTheme="minorHAnsi"/>
                <w:noProof/>
                <w:color w:val="auto"/>
                <w:lang w:eastAsia="nl-NL"/>
              </w:rPr>
              <w:tab/>
            </w:r>
            <w:r w:rsidR="008413D4" w:rsidRPr="009C17D6">
              <w:rPr>
                <w:rStyle w:val="Hyperlink"/>
                <w:noProof/>
              </w:rPr>
              <w:t>Verantwoordelijke</w:t>
            </w:r>
            <w:r w:rsidR="008413D4">
              <w:rPr>
                <w:noProof/>
                <w:webHidden/>
              </w:rPr>
              <w:tab/>
            </w:r>
            <w:r w:rsidR="008413D4">
              <w:rPr>
                <w:noProof/>
                <w:webHidden/>
              </w:rPr>
              <w:fldChar w:fldCharType="begin"/>
            </w:r>
            <w:r w:rsidR="008413D4">
              <w:rPr>
                <w:noProof/>
                <w:webHidden/>
              </w:rPr>
              <w:instrText xml:space="preserve"> PAGEREF _Toc71641566 \h </w:instrText>
            </w:r>
            <w:r w:rsidR="008413D4">
              <w:rPr>
                <w:noProof/>
                <w:webHidden/>
              </w:rPr>
            </w:r>
            <w:r w:rsidR="008413D4">
              <w:rPr>
                <w:noProof/>
                <w:webHidden/>
              </w:rPr>
              <w:fldChar w:fldCharType="separate"/>
            </w:r>
            <w:r w:rsidR="00F76E6A">
              <w:rPr>
                <w:noProof/>
                <w:webHidden/>
              </w:rPr>
              <w:t>2</w:t>
            </w:r>
            <w:r w:rsidR="008413D4">
              <w:rPr>
                <w:noProof/>
                <w:webHidden/>
              </w:rPr>
              <w:fldChar w:fldCharType="end"/>
            </w:r>
          </w:hyperlink>
        </w:p>
        <w:p w:rsidR="008413D4" w:rsidRDefault="007B6027">
          <w:pPr>
            <w:pStyle w:val="Inhopg1"/>
            <w:tabs>
              <w:tab w:val="left" w:pos="440"/>
              <w:tab w:val="right" w:leader="dot" w:pos="9062"/>
            </w:tabs>
            <w:rPr>
              <w:rFonts w:asciiTheme="minorHAnsi" w:eastAsiaTheme="minorEastAsia" w:hAnsiTheme="minorHAnsi"/>
              <w:noProof/>
              <w:color w:val="auto"/>
              <w:lang w:eastAsia="nl-NL"/>
            </w:rPr>
          </w:pPr>
          <w:hyperlink w:anchor="_Toc71641567" w:history="1">
            <w:r w:rsidR="008413D4" w:rsidRPr="009C17D6">
              <w:rPr>
                <w:rStyle w:val="Hyperlink"/>
                <w:noProof/>
              </w:rPr>
              <w:t>4.</w:t>
            </w:r>
            <w:r w:rsidR="008413D4">
              <w:rPr>
                <w:rFonts w:asciiTheme="minorHAnsi" w:eastAsiaTheme="minorEastAsia" w:hAnsiTheme="minorHAnsi"/>
                <w:noProof/>
                <w:color w:val="auto"/>
                <w:lang w:eastAsia="nl-NL"/>
              </w:rPr>
              <w:tab/>
            </w:r>
            <w:r w:rsidR="008413D4" w:rsidRPr="009C17D6">
              <w:rPr>
                <w:rStyle w:val="Hyperlink"/>
                <w:noProof/>
              </w:rPr>
              <w:t>Basisjaar en rapportage</w:t>
            </w:r>
            <w:r w:rsidR="008413D4">
              <w:rPr>
                <w:noProof/>
                <w:webHidden/>
              </w:rPr>
              <w:tab/>
            </w:r>
            <w:r w:rsidR="008413D4">
              <w:rPr>
                <w:noProof/>
                <w:webHidden/>
              </w:rPr>
              <w:fldChar w:fldCharType="begin"/>
            </w:r>
            <w:r w:rsidR="008413D4">
              <w:rPr>
                <w:noProof/>
                <w:webHidden/>
              </w:rPr>
              <w:instrText xml:space="preserve"> PAGEREF _Toc71641567 \h </w:instrText>
            </w:r>
            <w:r w:rsidR="008413D4">
              <w:rPr>
                <w:noProof/>
                <w:webHidden/>
              </w:rPr>
            </w:r>
            <w:r w:rsidR="008413D4">
              <w:rPr>
                <w:noProof/>
                <w:webHidden/>
              </w:rPr>
              <w:fldChar w:fldCharType="separate"/>
            </w:r>
            <w:r w:rsidR="00F76E6A">
              <w:rPr>
                <w:noProof/>
                <w:webHidden/>
              </w:rPr>
              <w:t>2</w:t>
            </w:r>
            <w:r w:rsidR="008413D4">
              <w:rPr>
                <w:noProof/>
                <w:webHidden/>
              </w:rPr>
              <w:fldChar w:fldCharType="end"/>
            </w:r>
          </w:hyperlink>
        </w:p>
        <w:p w:rsidR="008413D4" w:rsidRDefault="007B6027">
          <w:pPr>
            <w:pStyle w:val="Inhopg1"/>
            <w:tabs>
              <w:tab w:val="left" w:pos="440"/>
              <w:tab w:val="right" w:leader="dot" w:pos="9062"/>
            </w:tabs>
            <w:rPr>
              <w:rFonts w:asciiTheme="minorHAnsi" w:eastAsiaTheme="minorEastAsia" w:hAnsiTheme="minorHAnsi"/>
              <w:noProof/>
              <w:color w:val="auto"/>
              <w:lang w:eastAsia="nl-NL"/>
            </w:rPr>
          </w:pPr>
          <w:hyperlink w:anchor="_Toc71641568" w:history="1">
            <w:r w:rsidR="008413D4" w:rsidRPr="009C17D6">
              <w:rPr>
                <w:rStyle w:val="Hyperlink"/>
                <w:noProof/>
              </w:rPr>
              <w:t>5.</w:t>
            </w:r>
            <w:r w:rsidR="008413D4">
              <w:rPr>
                <w:rFonts w:asciiTheme="minorHAnsi" w:eastAsiaTheme="minorEastAsia" w:hAnsiTheme="minorHAnsi"/>
                <w:noProof/>
                <w:color w:val="auto"/>
                <w:lang w:eastAsia="nl-NL"/>
              </w:rPr>
              <w:tab/>
            </w:r>
            <w:r w:rsidR="008413D4" w:rsidRPr="009C17D6">
              <w:rPr>
                <w:rStyle w:val="Hyperlink"/>
                <w:noProof/>
              </w:rPr>
              <w:t>Afbakening</w:t>
            </w:r>
            <w:r w:rsidR="008413D4">
              <w:rPr>
                <w:noProof/>
                <w:webHidden/>
              </w:rPr>
              <w:tab/>
            </w:r>
            <w:r w:rsidR="008413D4">
              <w:rPr>
                <w:noProof/>
                <w:webHidden/>
              </w:rPr>
              <w:fldChar w:fldCharType="begin"/>
            </w:r>
            <w:r w:rsidR="008413D4">
              <w:rPr>
                <w:noProof/>
                <w:webHidden/>
              </w:rPr>
              <w:instrText xml:space="preserve"> PAGEREF _Toc71641568 \h </w:instrText>
            </w:r>
            <w:r w:rsidR="008413D4">
              <w:rPr>
                <w:noProof/>
                <w:webHidden/>
              </w:rPr>
            </w:r>
            <w:r w:rsidR="008413D4">
              <w:rPr>
                <w:noProof/>
                <w:webHidden/>
              </w:rPr>
              <w:fldChar w:fldCharType="separate"/>
            </w:r>
            <w:r w:rsidR="00F76E6A">
              <w:rPr>
                <w:noProof/>
                <w:webHidden/>
              </w:rPr>
              <w:t>2</w:t>
            </w:r>
            <w:r w:rsidR="008413D4">
              <w:rPr>
                <w:noProof/>
                <w:webHidden/>
              </w:rPr>
              <w:fldChar w:fldCharType="end"/>
            </w:r>
          </w:hyperlink>
        </w:p>
        <w:p w:rsidR="008413D4" w:rsidRDefault="007B6027">
          <w:pPr>
            <w:pStyle w:val="Inhopg1"/>
            <w:tabs>
              <w:tab w:val="left" w:pos="440"/>
              <w:tab w:val="right" w:leader="dot" w:pos="9062"/>
            </w:tabs>
            <w:rPr>
              <w:rFonts w:asciiTheme="minorHAnsi" w:eastAsiaTheme="minorEastAsia" w:hAnsiTheme="minorHAnsi"/>
              <w:noProof/>
              <w:color w:val="auto"/>
              <w:lang w:eastAsia="nl-NL"/>
            </w:rPr>
          </w:pPr>
          <w:hyperlink w:anchor="_Toc71641569" w:history="1">
            <w:r w:rsidR="008413D4" w:rsidRPr="009C17D6">
              <w:rPr>
                <w:rStyle w:val="Hyperlink"/>
                <w:noProof/>
              </w:rPr>
              <w:t>6.</w:t>
            </w:r>
            <w:r w:rsidR="008413D4">
              <w:rPr>
                <w:rFonts w:asciiTheme="minorHAnsi" w:eastAsiaTheme="minorEastAsia" w:hAnsiTheme="minorHAnsi"/>
                <w:noProof/>
                <w:color w:val="auto"/>
                <w:lang w:eastAsia="nl-NL"/>
              </w:rPr>
              <w:tab/>
            </w:r>
            <w:r w:rsidR="008413D4" w:rsidRPr="009C17D6">
              <w:rPr>
                <w:rStyle w:val="Hyperlink"/>
                <w:noProof/>
              </w:rPr>
              <w:t>Directe en indirecte GHG-emissies</w:t>
            </w:r>
            <w:r w:rsidR="008413D4">
              <w:rPr>
                <w:noProof/>
                <w:webHidden/>
              </w:rPr>
              <w:tab/>
            </w:r>
            <w:r w:rsidR="008413D4">
              <w:rPr>
                <w:noProof/>
                <w:webHidden/>
              </w:rPr>
              <w:fldChar w:fldCharType="begin"/>
            </w:r>
            <w:r w:rsidR="008413D4">
              <w:rPr>
                <w:noProof/>
                <w:webHidden/>
              </w:rPr>
              <w:instrText xml:space="preserve"> PAGEREF _Toc71641569 \h </w:instrText>
            </w:r>
            <w:r w:rsidR="008413D4">
              <w:rPr>
                <w:noProof/>
                <w:webHidden/>
              </w:rPr>
            </w:r>
            <w:r w:rsidR="008413D4">
              <w:rPr>
                <w:noProof/>
                <w:webHidden/>
              </w:rPr>
              <w:fldChar w:fldCharType="separate"/>
            </w:r>
            <w:r w:rsidR="00F76E6A">
              <w:rPr>
                <w:noProof/>
                <w:webHidden/>
              </w:rPr>
              <w:t>3</w:t>
            </w:r>
            <w:r w:rsidR="008413D4">
              <w:rPr>
                <w:noProof/>
                <w:webHidden/>
              </w:rPr>
              <w:fldChar w:fldCharType="end"/>
            </w:r>
          </w:hyperlink>
        </w:p>
        <w:p w:rsidR="008413D4" w:rsidRDefault="007B6027">
          <w:pPr>
            <w:pStyle w:val="Inhopg1"/>
            <w:tabs>
              <w:tab w:val="left" w:pos="440"/>
              <w:tab w:val="right" w:leader="dot" w:pos="9062"/>
            </w:tabs>
            <w:rPr>
              <w:rFonts w:asciiTheme="minorHAnsi" w:eastAsiaTheme="minorEastAsia" w:hAnsiTheme="minorHAnsi"/>
              <w:noProof/>
              <w:color w:val="auto"/>
              <w:lang w:eastAsia="nl-NL"/>
            </w:rPr>
          </w:pPr>
          <w:hyperlink w:anchor="_Toc71641570" w:history="1">
            <w:r w:rsidR="008413D4" w:rsidRPr="009C17D6">
              <w:rPr>
                <w:rStyle w:val="Hyperlink"/>
                <w:noProof/>
              </w:rPr>
              <w:t>7.</w:t>
            </w:r>
            <w:r w:rsidR="008413D4">
              <w:rPr>
                <w:rFonts w:asciiTheme="minorHAnsi" w:eastAsiaTheme="minorEastAsia" w:hAnsiTheme="minorHAnsi"/>
                <w:noProof/>
                <w:color w:val="auto"/>
                <w:lang w:eastAsia="nl-NL"/>
              </w:rPr>
              <w:tab/>
            </w:r>
            <w:r w:rsidR="008413D4" w:rsidRPr="009C17D6">
              <w:rPr>
                <w:rStyle w:val="Hyperlink"/>
                <w:noProof/>
              </w:rPr>
              <w:t>Kwantificeringsmethoden</w:t>
            </w:r>
            <w:r w:rsidR="008413D4">
              <w:rPr>
                <w:noProof/>
                <w:webHidden/>
              </w:rPr>
              <w:tab/>
            </w:r>
            <w:r w:rsidR="008413D4">
              <w:rPr>
                <w:noProof/>
                <w:webHidden/>
              </w:rPr>
              <w:fldChar w:fldCharType="begin"/>
            </w:r>
            <w:r w:rsidR="008413D4">
              <w:rPr>
                <w:noProof/>
                <w:webHidden/>
              </w:rPr>
              <w:instrText xml:space="preserve"> PAGEREF _Toc71641570 \h </w:instrText>
            </w:r>
            <w:r w:rsidR="008413D4">
              <w:rPr>
                <w:noProof/>
                <w:webHidden/>
              </w:rPr>
            </w:r>
            <w:r w:rsidR="008413D4">
              <w:rPr>
                <w:noProof/>
                <w:webHidden/>
              </w:rPr>
              <w:fldChar w:fldCharType="separate"/>
            </w:r>
            <w:r w:rsidR="00F76E6A">
              <w:rPr>
                <w:noProof/>
                <w:webHidden/>
              </w:rPr>
              <w:t>5</w:t>
            </w:r>
            <w:r w:rsidR="008413D4">
              <w:rPr>
                <w:noProof/>
                <w:webHidden/>
              </w:rPr>
              <w:fldChar w:fldCharType="end"/>
            </w:r>
          </w:hyperlink>
        </w:p>
        <w:p w:rsidR="008413D4" w:rsidRDefault="007B6027">
          <w:pPr>
            <w:pStyle w:val="Inhopg1"/>
            <w:tabs>
              <w:tab w:val="left" w:pos="440"/>
              <w:tab w:val="right" w:leader="dot" w:pos="9062"/>
            </w:tabs>
            <w:rPr>
              <w:rFonts w:asciiTheme="minorHAnsi" w:eastAsiaTheme="minorEastAsia" w:hAnsiTheme="minorHAnsi"/>
              <w:noProof/>
              <w:color w:val="auto"/>
              <w:lang w:eastAsia="nl-NL"/>
            </w:rPr>
          </w:pPr>
          <w:hyperlink w:anchor="_Toc71641571" w:history="1">
            <w:r w:rsidR="008413D4" w:rsidRPr="009C17D6">
              <w:rPr>
                <w:rStyle w:val="Hyperlink"/>
                <w:noProof/>
              </w:rPr>
              <w:t>8.</w:t>
            </w:r>
            <w:r w:rsidR="008413D4">
              <w:rPr>
                <w:rFonts w:asciiTheme="minorHAnsi" w:eastAsiaTheme="minorEastAsia" w:hAnsiTheme="minorHAnsi"/>
                <w:noProof/>
                <w:color w:val="auto"/>
                <w:lang w:eastAsia="nl-NL"/>
              </w:rPr>
              <w:tab/>
            </w:r>
            <w:r w:rsidR="008413D4" w:rsidRPr="009C17D6">
              <w:rPr>
                <w:rStyle w:val="Hyperlink"/>
                <w:noProof/>
              </w:rPr>
              <w:t>Emissiefactoren</w:t>
            </w:r>
            <w:r w:rsidR="008413D4">
              <w:rPr>
                <w:noProof/>
                <w:webHidden/>
              </w:rPr>
              <w:tab/>
            </w:r>
            <w:r w:rsidR="008413D4">
              <w:rPr>
                <w:noProof/>
                <w:webHidden/>
              </w:rPr>
              <w:fldChar w:fldCharType="begin"/>
            </w:r>
            <w:r w:rsidR="008413D4">
              <w:rPr>
                <w:noProof/>
                <w:webHidden/>
              </w:rPr>
              <w:instrText xml:space="preserve"> PAGEREF _Toc71641571 \h </w:instrText>
            </w:r>
            <w:r w:rsidR="008413D4">
              <w:rPr>
                <w:noProof/>
                <w:webHidden/>
              </w:rPr>
            </w:r>
            <w:r w:rsidR="008413D4">
              <w:rPr>
                <w:noProof/>
                <w:webHidden/>
              </w:rPr>
              <w:fldChar w:fldCharType="separate"/>
            </w:r>
            <w:r w:rsidR="00F76E6A">
              <w:rPr>
                <w:noProof/>
                <w:webHidden/>
              </w:rPr>
              <w:t>5</w:t>
            </w:r>
            <w:r w:rsidR="008413D4">
              <w:rPr>
                <w:noProof/>
                <w:webHidden/>
              </w:rPr>
              <w:fldChar w:fldCharType="end"/>
            </w:r>
          </w:hyperlink>
        </w:p>
        <w:p w:rsidR="008413D4" w:rsidRDefault="007B6027">
          <w:pPr>
            <w:pStyle w:val="Inhopg1"/>
            <w:tabs>
              <w:tab w:val="left" w:pos="440"/>
              <w:tab w:val="right" w:leader="dot" w:pos="9062"/>
            </w:tabs>
            <w:rPr>
              <w:rFonts w:asciiTheme="minorHAnsi" w:eastAsiaTheme="minorEastAsia" w:hAnsiTheme="minorHAnsi"/>
              <w:noProof/>
              <w:color w:val="auto"/>
              <w:lang w:eastAsia="nl-NL"/>
            </w:rPr>
          </w:pPr>
          <w:hyperlink w:anchor="_Toc71641572" w:history="1">
            <w:r w:rsidR="008413D4" w:rsidRPr="009C17D6">
              <w:rPr>
                <w:rStyle w:val="Hyperlink"/>
                <w:noProof/>
              </w:rPr>
              <w:t>9.</w:t>
            </w:r>
            <w:r w:rsidR="008413D4">
              <w:rPr>
                <w:rFonts w:asciiTheme="minorHAnsi" w:eastAsiaTheme="minorEastAsia" w:hAnsiTheme="minorHAnsi"/>
                <w:noProof/>
                <w:color w:val="auto"/>
                <w:lang w:eastAsia="nl-NL"/>
              </w:rPr>
              <w:tab/>
            </w:r>
            <w:r w:rsidR="008413D4" w:rsidRPr="009C17D6">
              <w:rPr>
                <w:rStyle w:val="Hyperlink"/>
                <w:noProof/>
              </w:rPr>
              <w:t>Onzekerheden</w:t>
            </w:r>
            <w:r w:rsidR="008413D4">
              <w:rPr>
                <w:noProof/>
                <w:webHidden/>
              </w:rPr>
              <w:tab/>
            </w:r>
            <w:r w:rsidR="008413D4">
              <w:rPr>
                <w:noProof/>
                <w:webHidden/>
              </w:rPr>
              <w:fldChar w:fldCharType="begin"/>
            </w:r>
            <w:r w:rsidR="008413D4">
              <w:rPr>
                <w:noProof/>
                <w:webHidden/>
              </w:rPr>
              <w:instrText xml:space="preserve"> PAGEREF _Toc71641572 \h </w:instrText>
            </w:r>
            <w:r w:rsidR="008413D4">
              <w:rPr>
                <w:noProof/>
                <w:webHidden/>
              </w:rPr>
            </w:r>
            <w:r w:rsidR="008413D4">
              <w:rPr>
                <w:noProof/>
                <w:webHidden/>
              </w:rPr>
              <w:fldChar w:fldCharType="separate"/>
            </w:r>
            <w:r w:rsidR="00F76E6A">
              <w:rPr>
                <w:noProof/>
                <w:webHidden/>
              </w:rPr>
              <w:t>5</w:t>
            </w:r>
            <w:r w:rsidR="008413D4">
              <w:rPr>
                <w:noProof/>
                <w:webHidden/>
              </w:rPr>
              <w:fldChar w:fldCharType="end"/>
            </w:r>
          </w:hyperlink>
        </w:p>
        <w:p w:rsidR="008413D4" w:rsidRDefault="007B6027">
          <w:pPr>
            <w:pStyle w:val="Inhopg1"/>
            <w:tabs>
              <w:tab w:val="left" w:pos="660"/>
              <w:tab w:val="right" w:leader="dot" w:pos="9062"/>
            </w:tabs>
            <w:rPr>
              <w:rFonts w:asciiTheme="minorHAnsi" w:eastAsiaTheme="minorEastAsia" w:hAnsiTheme="minorHAnsi"/>
              <w:noProof/>
              <w:color w:val="auto"/>
              <w:lang w:eastAsia="nl-NL"/>
            </w:rPr>
          </w:pPr>
          <w:hyperlink w:anchor="_Toc71641573" w:history="1">
            <w:r w:rsidR="008413D4" w:rsidRPr="009C17D6">
              <w:rPr>
                <w:rStyle w:val="Hyperlink"/>
                <w:noProof/>
              </w:rPr>
              <w:t>10.</w:t>
            </w:r>
            <w:r w:rsidR="008413D4">
              <w:rPr>
                <w:rFonts w:asciiTheme="minorHAnsi" w:eastAsiaTheme="minorEastAsia" w:hAnsiTheme="minorHAnsi"/>
                <w:noProof/>
                <w:color w:val="auto"/>
                <w:lang w:eastAsia="nl-NL"/>
              </w:rPr>
              <w:tab/>
            </w:r>
            <w:r w:rsidR="008413D4" w:rsidRPr="009C17D6">
              <w:rPr>
                <w:rStyle w:val="Hyperlink"/>
                <w:noProof/>
              </w:rPr>
              <w:t>Rapportage volgens ISO 14064 deel 9</w:t>
            </w:r>
            <w:r w:rsidR="008413D4">
              <w:rPr>
                <w:noProof/>
                <w:webHidden/>
              </w:rPr>
              <w:tab/>
            </w:r>
            <w:r w:rsidR="008413D4">
              <w:rPr>
                <w:noProof/>
                <w:webHidden/>
              </w:rPr>
              <w:fldChar w:fldCharType="begin"/>
            </w:r>
            <w:r w:rsidR="008413D4">
              <w:rPr>
                <w:noProof/>
                <w:webHidden/>
              </w:rPr>
              <w:instrText xml:space="preserve"> PAGEREF _Toc71641573 \h </w:instrText>
            </w:r>
            <w:r w:rsidR="008413D4">
              <w:rPr>
                <w:noProof/>
                <w:webHidden/>
              </w:rPr>
            </w:r>
            <w:r w:rsidR="008413D4">
              <w:rPr>
                <w:noProof/>
                <w:webHidden/>
              </w:rPr>
              <w:fldChar w:fldCharType="separate"/>
            </w:r>
            <w:r w:rsidR="00F76E6A">
              <w:rPr>
                <w:noProof/>
                <w:webHidden/>
              </w:rPr>
              <w:t>5</w:t>
            </w:r>
            <w:r w:rsidR="008413D4">
              <w:rPr>
                <w:noProof/>
                <w:webHidden/>
              </w:rPr>
              <w:fldChar w:fldCharType="end"/>
            </w:r>
          </w:hyperlink>
        </w:p>
        <w:p w:rsidR="00846DCD" w:rsidRDefault="00846DCD">
          <w:r>
            <w:rPr>
              <w:b/>
              <w:bCs/>
            </w:rPr>
            <w:fldChar w:fldCharType="end"/>
          </w:r>
        </w:p>
      </w:sdtContent>
    </w:sdt>
    <w:p w:rsidR="00846DCD" w:rsidRDefault="00846DCD">
      <w:pPr>
        <w:rPr>
          <w:rFonts w:eastAsiaTheme="majorEastAsia" w:cstheme="majorBidi"/>
          <w:b/>
          <w:szCs w:val="32"/>
        </w:rPr>
      </w:pPr>
      <w:r>
        <w:br w:type="page"/>
      </w:r>
    </w:p>
    <w:p w:rsidR="00AA6E37" w:rsidRPr="00AA6E37" w:rsidRDefault="00AA6E37" w:rsidP="00334D6D">
      <w:pPr>
        <w:pStyle w:val="Kop1"/>
        <w:numPr>
          <w:ilvl w:val="0"/>
          <w:numId w:val="1"/>
        </w:numPr>
      </w:pPr>
      <w:bookmarkStart w:id="0" w:name="_Toc71641564"/>
      <w:r w:rsidRPr="00AA6E37">
        <w:lastRenderedPageBreak/>
        <w:t>Inleiding en verantwoording</w:t>
      </w:r>
      <w:bookmarkEnd w:id="0"/>
    </w:p>
    <w:p w:rsidR="00AA6E37" w:rsidRDefault="00AA6E37" w:rsidP="00AA6E37">
      <w:pPr>
        <w:pStyle w:val="Geenafstand"/>
      </w:pPr>
      <w:r>
        <w:t>In dit rapport w</w:t>
      </w:r>
      <w:r w:rsidR="00F324CE">
        <w:t>ordt de emissie inventaris over 202</w:t>
      </w:r>
      <w:r w:rsidR="00F76E6A">
        <w:t>2</w:t>
      </w:r>
      <w:r w:rsidR="00F324CE">
        <w:t xml:space="preserve"> </w:t>
      </w:r>
      <w:r>
        <w:t>besproken en richt zich op invalshoek A (inzicht) van de CO2 prestatieladder. De CO2 voetafdruk geeft een inventarisatie van de totale hoeveelheid uitgestoten broeikasgassen: de GHG emissies. Daarnaast geeft het inzicht in de herkomst van deze emissies met een verdeling naar directe en indirecte GHG emis</w:t>
      </w:r>
      <w:r w:rsidR="00AE6EBE">
        <w:t xml:space="preserve">sies (respectievelijk scope 1, </w:t>
      </w:r>
      <w:r>
        <w:t>scope 2</w:t>
      </w:r>
      <w:r w:rsidR="00AE6EBE">
        <w:t xml:space="preserve"> en business </w:t>
      </w:r>
      <w:proofErr w:type="spellStart"/>
      <w:r w:rsidR="00AE6EBE">
        <w:t>travel</w:t>
      </w:r>
      <w:proofErr w:type="spellEnd"/>
      <w:r>
        <w:t>).</w:t>
      </w:r>
    </w:p>
    <w:p w:rsidR="00AA6E37" w:rsidRDefault="00AA6E37" w:rsidP="00AA6E37">
      <w:pPr>
        <w:pStyle w:val="Geenafstand"/>
      </w:pPr>
    </w:p>
    <w:p w:rsidR="00AA6E37" w:rsidRDefault="00AA6E37" w:rsidP="00AA6E37">
      <w:pPr>
        <w:pStyle w:val="Geenafstand"/>
      </w:pPr>
      <w:r>
        <w:t>De inventarisatie is een verantwoording van onderdeel 3.A.1 uit de prestatieladder en is uit</w:t>
      </w:r>
      <w:r w:rsidR="00AE6EBE">
        <w:t>gevoerd conform de ISO 14064-1:2018.</w:t>
      </w:r>
      <w:r>
        <w:t xml:space="preserve">  In dit rapport wordt de voetprint gerapporteerd volgens § </w:t>
      </w:r>
      <w:r w:rsidR="00AE6EBE">
        <w:t>9</w:t>
      </w:r>
      <w:r>
        <w:t xml:space="preserve">.3.1 van deze norm, in het laatste hoofdstuk is hiertoe een cross </w:t>
      </w:r>
      <w:proofErr w:type="spellStart"/>
      <w:r>
        <w:t>reference</w:t>
      </w:r>
      <w:proofErr w:type="spellEnd"/>
      <w:r>
        <w:t xml:space="preserve"> </w:t>
      </w:r>
      <w:proofErr w:type="spellStart"/>
      <w:r>
        <w:t>table</w:t>
      </w:r>
      <w:proofErr w:type="spellEnd"/>
      <w:r>
        <w:t xml:space="preserve"> opgenomen.</w:t>
      </w:r>
    </w:p>
    <w:p w:rsidR="00AA6E37" w:rsidRDefault="00AA6E37" w:rsidP="00334D6D">
      <w:pPr>
        <w:pStyle w:val="Kop1"/>
        <w:numPr>
          <w:ilvl w:val="0"/>
          <w:numId w:val="1"/>
        </w:numPr>
      </w:pPr>
      <w:bookmarkStart w:id="1" w:name="_Toc71641565"/>
      <w:r w:rsidRPr="00AA6E37">
        <w:t>Beschrijving van de organisatie</w:t>
      </w:r>
      <w:bookmarkEnd w:id="1"/>
    </w:p>
    <w:p w:rsidR="00F324CE" w:rsidRDefault="00F324CE" w:rsidP="00F324CE">
      <w:pPr>
        <w:pStyle w:val="Geenafstand"/>
      </w:pPr>
      <w:r>
        <w:t>Van Boxmeer richt zich in hoofdzaak op vier activiteiten, te weten:</w:t>
      </w:r>
    </w:p>
    <w:p w:rsidR="00F324CE" w:rsidRDefault="00F324CE" w:rsidP="00F324CE">
      <w:pPr>
        <w:pStyle w:val="Geenafstand"/>
        <w:numPr>
          <w:ilvl w:val="0"/>
          <w:numId w:val="3"/>
        </w:numPr>
      </w:pPr>
      <w:r>
        <w:t>Agrarisch loonwerk</w:t>
      </w:r>
    </w:p>
    <w:p w:rsidR="00F324CE" w:rsidRDefault="00F324CE" w:rsidP="00F324CE">
      <w:pPr>
        <w:pStyle w:val="Geenafstand"/>
        <w:numPr>
          <w:ilvl w:val="0"/>
          <w:numId w:val="3"/>
        </w:numPr>
      </w:pPr>
      <w:r>
        <w:t>GWW (Grond-, Weg-, en Waterbouw</w:t>
      </w:r>
    </w:p>
    <w:p w:rsidR="00F324CE" w:rsidRDefault="00F324CE" w:rsidP="00F324CE">
      <w:pPr>
        <w:pStyle w:val="Geenafstand"/>
        <w:numPr>
          <w:ilvl w:val="0"/>
          <w:numId w:val="3"/>
        </w:numPr>
      </w:pPr>
      <w:r>
        <w:t>Cultuurtechniek</w:t>
      </w:r>
    </w:p>
    <w:p w:rsidR="00F324CE" w:rsidRDefault="00F324CE" w:rsidP="00F324CE">
      <w:pPr>
        <w:pStyle w:val="Geenafstand"/>
        <w:numPr>
          <w:ilvl w:val="0"/>
          <w:numId w:val="3"/>
        </w:numPr>
      </w:pPr>
      <w:r>
        <w:t>Natuur- en landschapsbeheer</w:t>
      </w:r>
    </w:p>
    <w:p w:rsidR="00F324CE" w:rsidRPr="00F324CE" w:rsidRDefault="00F324CE" w:rsidP="00F324CE">
      <w:pPr>
        <w:pStyle w:val="Geenafstand"/>
      </w:pPr>
      <w:r>
        <w:t xml:space="preserve">Het werkgebied omvat de regio in een straal van 50 kilometer rond Helmond en opdrachtgevers zijn agrarische bedrijven, aannemingsbedrijven, natuurbeheerders, gemeenten, waterschappen en de provincie Noord-Brabant. Het bedrijf is de laatste jaren gegroeid naar een onderneming met 20 vaste medewerkers en een schil aan </w:t>
      </w:r>
      <w:proofErr w:type="spellStart"/>
      <w:r>
        <w:t>zzp’ers</w:t>
      </w:r>
      <w:proofErr w:type="spellEnd"/>
      <w:r>
        <w:t>. Het bedrijf is gecertificeerd voor ISO 9001, VCA*, VKL</w:t>
      </w:r>
      <w:r w:rsidR="00F76E6A">
        <w:t xml:space="preserve"> en CO2 prestatieladder niveau 5</w:t>
      </w:r>
      <w:r>
        <w:t xml:space="preserve">. Daarmee wordt onderstreept dat het management niet alleen een heel goede kwaliteit wil leveren, maar ook op praktische wijze de CO2 emissie ten gevolge van uit te voeren werkzaamheden wil verminderen. </w:t>
      </w:r>
    </w:p>
    <w:p w:rsidR="00AA6E37" w:rsidRPr="00AA6E37" w:rsidRDefault="00AA6E37" w:rsidP="00334D6D">
      <w:pPr>
        <w:pStyle w:val="Kop1"/>
        <w:numPr>
          <w:ilvl w:val="0"/>
          <w:numId w:val="1"/>
        </w:numPr>
      </w:pPr>
      <w:bookmarkStart w:id="2" w:name="_Toc71641566"/>
      <w:r w:rsidRPr="00AA6E37">
        <w:t>Verantwoordelijke</w:t>
      </w:r>
      <w:bookmarkEnd w:id="2"/>
    </w:p>
    <w:p w:rsidR="00AA6E37" w:rsidRDefault="00AA6E37" w:rsidP="00AA6E37">
      <w:pPr>
        <w:pStyle w:val="Geenafstand"/>
      </w:pPr>
      <w:r>
        <w:t>De verantwoordelijkheid voor de stuurcyclus CO2 reductie alsmede alle activiteiten die hier aan gekoppeld zijn, zoals het be</w:t>
      </w:r>
      <w:r w:rsidR="00F324CE">
        <w:t>halen van de doelstellingen, is Bram Lodder. Hij</w:t>
      </w:r>
      <w:r>
        <w:t xml:space="preserve"> rapporteert rechtstreeks aan de directie.</w:t>
      </w:r>
    </w:p>
    <w:p w:rsidR="00AA6E37" w:rsidRPr="00AA6E37" w:rsidRDefault="00AA6E37" w:rsidP="00334D6D">
      <w:pPr>
        <w:pStyle w:val="Kop1"/>
        <w:numPr>
          <w:ilvl w:val="0"/>
          <w:numId w:val="1"/>
        </w:numPr>
      </w:pPr>
      <w:bookmarkStart w:id="3" w:name="_Toc71641567"/>
      <w:r w:rsidRPr="00AA6E37">
        <w:t>Basisjaar en rapportage</w:t>
      </w:r>
      <w:bookmarkEnd w:id="3"/>
    </w:p>
    <w:p w:rsidR="00AA6E37" w:rsidRDefault="00F76E6A" w:rsidP="00AA6E37">
      <w:pPr>
        <w:pStyle w:val="Geenafstand"/>
      </w:pPr>
      <w:r>
        <w:t>Dit is de derd</w:t>
      </w:r>
      <w:r w:rsidR="00F324CE">
        <w:t>e maal dat een emissie-inventaris volgens het GHG-protocol wordt opgesteld. Dit rapport betreft het jaar 202</w:t>
      </w:r>
      <w:r w:rsidR="00F67013">
        <w:t>2</w:t>
      </w:r>
      <w:r w:rsidR="00F324CE">
        <w:t>. 2019 dienst als referentiejaar voor de CO2-reductiedoelstellingen. Tijdens het schrijven van dit rapport zijn de cijfers van 202</w:t>
      </w:r>
      <w:r w:rsidR="00F67013">
        <w:t>2</w:t>
      </w:r>
      <w:r w:rsidR="00F324CE">
        <w:t xml:space="preserve"> vergeleken met de cijfers van het referentiejaar 2019.</w:t>
      </w:r>
    </w:p>
    <w:p w:rsidR="00AA6E37" w:rsidRDefault="00AA6E37" w:rsidP="00334D6D">
      <w:pPr>
        <w:pStyle w:val="Kop1"/>
        <w:numPr>
          <w:ilvl w:val="0"/>
          <w:numId w:val="1"/>
        </w:numPr>
      </w:pPr>
      <w:bookmarkStart w:id="4" w:name="_Toc71641568"/>
      <w:r w:rsidRPr="00AA6E37">
        <w:t>Afbakening</w:t>
      </w:r>
      <w:bookmarkEnd w:id="4"/>
      <w:r w:rsidRPr="00AA6E37">
        <w:t xml:space="preserve"> </w:t>
      </w:r>
    </w:p>
    <w:p w:rsidR="00AA6E37" w:rsidRDefault="00441731" w:rsidP="00AA6E37">
      <w:pPr>
        <w:pStyle w:val="Geenafstand"/>
      </w:pPr>
      <w:r>
        <w:t>In hoofdstuk 3 van het GHG protocol worden twee methodes beschreven waarop de “</w:t>
      </w:r>
      <w:proofErr w:type="spellStart"/>
      <w:r>
        <w:t>organizational</w:t>
      </w:r>
      <w:proofErr w:type="spellEnd"/>
      <w:r>
        <w:t xml:space="preserve"> </w:t>
      </w:r>
      <w:proofErr w:type="spellStart"/>
      <w:r>
        <w:t>boundary</w:t>
      </w:r>
      <w:proofErr w:type="spellEnd"/>
      <w:r>
        <w:t>” kan worden bepaald, de aandelen methode (</w:t>
      </w:r>
      <w:proofErr w:type="spellStart"/>
      <w:r>
        <w:t>equity</w:t>
      </w:r>
      <w:proofErr w:type="spellEnd"/>
      <w:r>
        <w:t xml:space="preserve"> share approach) en de aansturingmethode (control approach). Ondersteund worde de juridische entiteit genoemd die als </w:t>
      </w:r>
      <w:proofErr w:type="spellStart"/>
      <w:r>
        <w:t>boundary</w:t>
      </w:r>
      <w:proofErr w:type="spellEnd"/>
      <w:r>
        <w:t xml:space="preserve"> geldt voor de berekenen van de CO2-foodprint, de bijbehorende CO2-reductiedoelstellingen en ook als naam zal worden gebruikt op het CO2-bewust certificaat. </w:t>
      </w:r>
    </w:p>
    <w:p w:rsidR="00441731" w:rsidRDefault="00441731" w:rsidP="00AA6E37">
      <w:pPr>
        <w:pStyle w:val="Geenafstand"/>
      </w:pPr>
    </w:p>
    <w:p w:rsidR="00AA6E37" w:rsidRPr="00AA6E37" w:rsidRDefault="003C31A4" w:rsidP="00AA6E37">
      <w:pPr>
        <w:pStyle w:val="Geenafstand"/>
        <w:rPr>
          <w:b/>
        </w:rPr>
      </w:pPr>
      <w:r w:rsidRPr="003C31A4">
        <w:rPr>
          <w:b/>
        </w:rPr>
        <w:t>Van Boxmeer</w:t>
      </w:r>
    </w:p>
    <w:p w:rsidR="00AA6E37" w:rsidRDefault="00AA6E37" w:rsidP="00AA6E37">
      <w:pPr>
        <w:pStyle w:val="Geenafstand"/>
      </w:pPr>
    </w:p>
    <w:p w:rsidR="00AA6E37" w:rsidRPr="00AA6E37" w:rsidRDefault="00AA6E37" w:rsidP="00AA6E37">
      <w:pPr>
        <w:pStyle w:val="Geenafstand"/>
        <w:rPr>
          <w:b/>
        </w:rPr>
      </w:pPr>
      <w:r w:rsidRPr="00AA6E37">
        <w:rPr>
          <w:b/>
        </w:rPr>
        <w:t>Met inbegrip van vestiging</w:t>
      </w:r>
    </w:p>
    <w:p w:rsidR="00AA6E37" w:rsidRPr="003C31A4" w:rsidRDefault="003C31A4" w:rsidP="00AA6E37">
      <w:pPr>
        <w:pStyle w:val="Geenafstand"/>
      </w:pPr>
      <w:r w:rsidRPr="003C31A4">
        <w:t>Geen</w:t>
      </w:r>
    </w:p>
    <w:p w:rsidR="00AA6E37" w:rsidRPr="003C31A4" w:rsidRDefault="00AA6E37" w:rsidP="00AA6E37">
      <w:pPr>
        <w:pStyle w:val="Geenafstand"/>
      </w:pPr>
    </w:p>
    <w:p w:rsidR="00AA6E37" w:rsidRPr="003C31A4" w:rsidRDefault="00AA6E37" w:rsidP="00AA6E37">
      <w:pPr>
        <w:pStyle w:val="Geenafstand"/>
        <w:rPr>
          <w:b/>
        </w:rPr>
      </w:pPr>
      <w:r w:rsidRPr="003C31A4">
        <w:rPr>
          <w:b/>
        </w:rPr>
        <w:t>En dochterondernemingen</w:t>
      </w:r>
    </w:p>
    <w:p w:rsidR="00AA6E37" w:rsidRDefault="00AA6E37" w:rsidP="00AA6E37">
      <w:pPr>
        <w:pStyle w:val="Geenafstand"/>
      </w:pPr>
      <w:r w:rsidRPr="003C31A4">
        <w:t>Geen</w:t>
      </w:r>
    </w:p>
    <w:p w:rsidR="00AA6E37" w:rsidRDefault="00AA6E37" w:rsidP="00AA6E37">
      <w:pPr>
        <w:pStyle w:val="Geenafstand"/>
      </w:pPr>
    </w:p>
    <w:p w:rsidR="00AA6E37" w:rsidRDefault="00AA6E37" w:rsidP="00AA6E37">
      <w:pPr>
        <w:pStyle w:val="Geenafstand"/>
      </w:pPr>
      <w:r w:rsidRPr="00AA6E37">
        <w:t>Dat wil zeggen</w:t>
      </w:r>
      <w:r>
        <w:t xml:space="preserve"> dat</w:t>
      </w:r>
      <w:r w:rsidRPr="00AA6E37">
        <w:t xml:space="preserve"> alle</w:t>
      </w:r>
      <w:r>
        <w:t xml:space="preserve"> operationele</w:t>
      </w:r>
      <w:r w:rsidRPr="00AA6E37">
        <w:t xml:space="preserve"> werkzaamheden </w:t>
      </w:r>
      <w:r w:rsidR="00797DD3">
        <w:t>door van Boxmeer</w:t>
      </w:r>
      <w:r w:rsidRPr="00AA6E37">
        <w:t xml:space="preserve"> </w:t>
      </w:r>
      <w:r>
        <w:t xml:space="preserve">worden </w:t>
      </w:r>
      <w:r w:rsidRPr="00AA6E37">
        <w:t>verricht, zoals ook ingeschreven bij de Kam</w:t>
      </w:r>
      <w:r w:rsidR="00797DD3">
        <w:t xml:space="preserve">er van Koophandel onder de naam van Boxmeer. </w:t>
      </w:r>
      <w:r w:rsidRPr="00AA6E37">
        <w:t xml:space="preserve">De daarbij behorende CO2-uitstoot zal als input worden gebruikt voor het berekenen van de CO2-footprint. Onderstaand volgt verdere toelichting op deze </w:t>
      </w:r>
      <w:proofErr w:type="spellStart"/>
      <w:r w:rsidRPr="00AA6E37">
        <w:t>boundary</w:t>
      </w:r>
      <w:proofErr w:type="spellEnd"/>
      <w:r w:rsidRPr="00AA6E37">
        <w:t xml:space="preserve"> volgens de aandelen methode (</w:t>
      </w:r>
      <w:proofErr w:type="spellStart"/>
      <w:r w:rsidRPr="00AA6E37">
        <w:t>equity</w:t>
      </w:r>
      <w:proofErr w:type="spellEnd"/>
      <w:r w:rsidRPr="00AA6E37">
        <w:t xml:space="preserve"> share approach).</w:t>
      </w:r>
    </w:p>
    <w:p w:rsidR="00846DCD" w:rsidRDefault="00846DCD" w:rsidP="00AA6E37">
      <w:pPr>
        <w:pStyle w:val="Geenafstand"/>
      </w:pPr>
    </w:p>
    <w:p w:rsidR="00797DD3" w:rsidRDefault="00797DD3" w:rsidP="00AA6E37">
      <w:pPr>
        <w:pStyle w:val="Geenafstand"/>
      </w:pPr>
      <w:r>
        <w:t>Van Boxmeer</w:t>
      </w:r>
      <w:r w:rsidR="003C36B2">
        <w:t xml:space="preserve"> BV</w:t>
      </w:r>
      <w:r>
        <w:t>:</w:t>
      </w:r>
    </w:p>
    <w:p w:rsidR="00AA6E37" w:rsidRDefault="003C36B2" w:rsidP="00AA6E37">
      <w:pPr>
        <w:pStyle w:val="Geenafstand"/>
      </w:pPr>
      <w:r>
        <w:t>•</w:t>
      </w:r>
      <w:r>
        <w:tab/>
        <w:t>bestaat uit twee</w:t>
      </w:r>
      <w:r w:rsidR="00797DD3">
        <w:t xml:space="preserve"> vennoten</w:t>
      </w:r>
      <w:r>
        <w:t>, te weten A.H.F.W. van Boxmeer en</w:t>
      </w:r>
      <w:r w:rsidR="00797DD3">
        <w:t xml:space="preserve"> Korica BV</w:t>
      </w:r>
    </w:p>
    <w:p w:rsidR="00AA6E37" w:rsidRDefault="00AA6E37" w:rsidP="00AA6E37">
      <w:pPr>
        <w:pStyle w:val="Geenafstand"/>
      </w:pPr>
      <w:r>
        <w:t>•</w:t>
      </w:r>
      <w:r>
        <w:tab/>
        <w:t>is geen onderdeel van een joint venture;</w:t>
      </w:r>
    </w:p>
    <w:p w:rsidR="00AA6E37" w:rsidRDefault="00AA6E37" w:rsidP="00AA6E37">
      <w:pPr>
        <w:pStyle w:val="Geenafstand"/>
      </w:pPr>
      <w:r>
        <w:t>•</w:t>
      </w:r>
      <w:r>
        <w:tab/>
        <w:t>heeft geen samenwerking met andere bedrijven waarvan zij ook aandelen bezit;</w:t>
      </w:r>
    </w:p>
    <w:p w:rsidR="00AA6E37" w:rsidRDefault="00AA6E37" w:rsidP="00AA6E37">
      <w:pPr>
        <w:pStyle w:val="Geenafstand"/>
      </w:pPr>
      <w:r>
        <w:t>•</w:t>
      </w:r>
      <w:r>
        <w:tab/>
        <w:t>heeft geen franchise activiteiten;</w:t>
      </w:r>
    </w:p>
    <w:p w:rsidR="00AA6E37" w:rsidRDefault="00AA6E37" w:rsidP="00AA6E37">
      <w:pPr>
        <w:pStyle w:val="Geenafstand"/>
      </w:pPr>
      <w:r>
        <w:t>•</w:t>
      </w:r>
      <w:r>
        <w:tab/>
        <w:t>is geen A-leverancier van een ander bedrijf binnen hetzelfde concern/ holding;</w:t>
      </w:r>
    </w:p>
    <w:p w:rsidR="00AA6E37" w:rsidRDefault="00AA6E37" w:rsidP="00AA6E37">
      <w:pPr>
        <w:pStyle w:val="Geenafstand"/>
      </w:pPr>
      <w:r>
        <w:t>•</w:t>
      </w:r>
      <w:r>
        <w:tab/>
        <w:t>heeft geen A-leveranciers die tevens concern-aanbieders zijn.</w:t>
      </w:r>
    </w:p>
    <w:p w:rsidR="00AA6E37" w:rsidRPr="00AA6E37" w:rsidRDefault="00AA6E37" w:rsidP="005D3A0C">
      <w:pPr>
        <w:pStyle w:val="Kop1"/>
        <w:numPr>
          <w:ilvl w:val="0"/>
          <w:numId w:val="1"/>
        </w:numPr>
      </w:pPr>
      <w:bookmarkStart w:id="5" w:name="_Toc71641569"/>
      <w:r w:rsidRPr="00AA6E37">
        <w:t>Directe en indirecte GHG-emissies</w:t>
      </w:r>
      <w:bookmarkEnd w:id="5"/>
    </w:p>
    <w:p w:rsidR="00AA6E37" w:rsidRDefault="00AA6E37" w:rsidP="00AA6E37">
      <w:pPr>
        <w:pStyle w:val="Geenafstand"/>
      </w:pPr>
      <w:r>
        <w:t>In dit hoofdstuk worden de berekende GHG emissies toegelicht.</w:t>
      </w:r>
    </w:p>
    <w:p w:rsidR="00AA6E37" w:rsidRDefault="00AA6E37" w:rsidP="00AA6E37">
      <w:pPr>
        <w:pStyle w:val="Geenafstand"/>
      </w:pPr>
    </w:p>
    <w:p w:rsidR="00AA6E37" w:rsidRDefault="00AA6E37" w:rsidP="005D3A0C">
      <w:pPr>
        <w:pStyle w:val="Geenafstand"/>
        <w:rPr>
          <w:b/>
        </w:rPr>
      </w:pPr>
      <w:r w:rsidRPr="00AA6E37">
        <w:rPr>
          <w:b/>
        </w:rPr>
        <w:t>Berekende GHG emissies</w:t>
      </w:r>
    </w:p>
    <w:p w:rsidR="00AA6E37" w:rsidRDefault="00AA6E37" w:rsidP="00AA6E37">
      <w:pPr>
        <w:pStyle w:val="Geenafstand"/>
      </w:pPr>
      <w:r>
        <w:t>De directe en i</w:t>
      </w:r>
      <w:r w:rsidR="00C05881">
        <w:t>ndirecte GHG emissie bedroeg in 202</w:t>
      </w:r>
      <w:r w:rsidR="00220633">
        <w:t>2 1.339,9</w:t>
      </w:r>
      <w:r w:rsidR="00370BAD">
        <w:t xml:space="preserve"> ton CO2.</w:t>
      </w:r>
      <w:r>
        <w:t xml:space="preserve"> Hiervan werd </w:t>
      </w:r>
      <w:r w:rsidR="00220633">
        <w:t>1.335,2</w:t>
      </w:r>
      <w:r w:rsidR="0090149C">
        <w:t xml:space="preserve"> </w:t>
      </w:r>
      <w:r>
        <w:t>ton CO2 veroorzaakt doo</w:t>
      </w:r>
      <w:r w:rsidR="00C05881">
        <w:t>r dire</w:t>
      </w:r>
      <w:r w:rsidR="00220633">
        <w:t>cte GHG emissie (scope 1) en 4,7</w:t>
      </w:r>
      <w:r>
        <w:t xml:space="preserve"> ton CO2 door indirecte GHG emissie (scope 2)</w:t>
      </w:r>
      <w:r w:rsidR="00C05881">
        <w:t xml:space="preserve">, 0 </w:t>
      </w:r>
      <w:r w:rsidR="00AE6EBE">
        <w:t>ton CO2 door indirec</w:t>
      </w:r>
      <w:r w:rsidR="00CF45D1">
        <w:t xml:space="preserve">te GHG emissie (business </w:t>
      </w:r>
      <w:proofErr w:type="spellStart"/>
      <w:r w:rsidR="00CF45D1">
        <w:t>travel</w:t>
      </w:r>
      <w:proofErr w:type="spellEnd"/>
      <w:r w:rsidR="00CF45D1">
        <w:t xml:space="preserve"> scope 3)</w:t>
      </w:r>
    </w:p>
    <w:p w:rsidR="00AA6E37" w:rsidRPr="00AA6E37" w:rsidRDefault="00AA6E37" w:rsidP="00AA6E37">
      <w:pPr>
        <w:pStyle w:val="Geenafstand"/>
        <w:rPr>
          <w:i/>
        </w:rPr>
      </w:pPr>
      <w:r w:rsidRPr="00AA6E37">
        <w:rPr>
          <w:i/>
        </w:rPr>
        <w:t>Bron 315.1 Emissie inventaris</w:t>
      </w:r>
    </w:p>
    <w:p w:rsidR="00AA6E37" w:rsidRDefault="00AA6E37" w:rsidP="00AA6E37">
      <w:pPr>
        <w:pStyle w:val="Geenafstand"/>
      </w:pPr>
    </w:p>
    <w:p w:rsidR="00AA6E37" w:rsidRPr="00AA6E37" w:rsidRDefault="00AA6E37" w:rsidP="00AA6E37">
      <w:pPr>
        <w:pStyle w:val="Geenafstand"/>
        <w:rPr>
          <w:b/>
        </w:rPr>
      </w:pPr>
      <w:r w:rsidRPr="00AA6E37">
        <w:rPr>
          <w:b/>
        </w:rPr>
        <w:t>Scope 1</w:t>
      </w:r>
    </w:p>
    <w:p w:rsidR="00EA7268" w:rsidRDefault="00AA6E37" w:rsidP="00AA6E37">
      <w:pPr>
        <w:pStyle w:val="Geenafstand"/>
      </w:pPr>
      <w:r w:rsidRPr="00365522">
        <w:t>Het verbruik van lasgassen is bekend maar de hoeveelheden, 150 liter = 0,2 ton = 0,05% van de footprint, zijn nihil en hebben geen significante invloed op de emissies en/of reductiebeleid. Het verbruik van koudemiddelen, 0,5 kg hebben geen invloed op de totale emissie en reductiebeleid.</w:t>
      </w:r>
      <w:r w:rsidR="00EA7268" w:rsidRPr="00EA7268">
        <w:t xml:space="preserve"> </w:t>
      </w:r>
    </w:p>
    <w:p w:rsidR="00AA6E37" w:rsidRDefault="00EA7268" w:rsidP="00AA6E37">
      <w:pPr>
        <w:pStyle w:val="Geenafstand"/>
      </w:pPr>
      <w:r w:rsidRPr="008D3A22">
        <w:t xml:space="preserve">Wij maken geen gebruik van olie- en smeermiddelen als bedoeld op </w:t>
      </w:r>
      <w:hyperlink r:id="rId9" w:history="1">
        <w:r w:rsidRPr="008D3A22">
          <w:rPr>
            <w:rStyle w:val="Hyperlink"/>
          </w:rPr>
          <w:t>www.co2emissiefactoren.nl</w:t>
        </w:r>
      </w:hyperlink>
      <w:r w:rsidRPr="008D3A22">
        <w:t xml:space="preserve"> (Brandstoffen energiecentrales en individuele warmteopwekking).</w:t>
      </w:r>
      <w:r>
        <w:t xml:space="preserve"> Olie- en smeermiddelen en evenals </w:t>
      </w:r>
      <w:proofErr w:type="spellStart"/>
      <w:r>
        <w:t>AdBlue</w:t>
      </w:r>
      <w:proofErr w:type="spellEnd"/>
      <w:r>
        <w:t xml:space="preserve"> zijn geen brandstoffen en veroorzaken geen CO2-uitstoot.</w:t>
      </w:r>
    </w:p>
    <w:p w:rsidR="00AA6E37" w:rsidRDefault="00AA6E37" w:rsidP="00AA6E37">
      <w:pPr>
        <w:pStyle w:val="Geenafstand"/>
      </w:pPr>
    </w:p>
    <w:p w:rsidR="00AA6E37" w:rsidRPr="00AA6E37" w:rsidRDefault="00AA6E37" w:rsidP="00AA6E37">
      <w:pPr>
        <w:pStyle w:val="Geenafstand"/>
        <w:rPr>
          <w:b/>
        </w:rPr>
      </w:pPr>
      <w:r w:rsidRPr="00AA6E37">
        <w:rPr>
          <w:b/>
        </w:rPr>
        <w:t>Scope 2</w:t>
      </w:r>
    </w:p>
    <w:p w:rsidR="00AA6E37" w:rsidRDefault="00C67D7B" w:rsidP="00AA6E37">
      <w:pPr>
        <w:pStyle w:val="Geenafstand"/>
      </w:pPr>
      <w:r>
        <w:t>Er wordt gebruik gemaakt va</w:t>
      </w:r>
      <w:r w:rsidR="0033519A">
        <w:t xml:space="preserve">n groene stroom op basis van het stroometiket Greenchoice 2022. </w:t>
      </w:r>
      <w:r>
        <w:t xml:space="preserve">Er is een “garantie van oorsprong” als bedoeld en uitgegeven door </w:t>
      </w:r>
      <w:proofErr w:type="spellStart"/>
      <w:r>
        <w:t>CertiQ</w:t>
      </w:r>
      <w:proofErr w:type="spellEnd"/>
      <w:r>
        <w:t xml:space="preserve"> of SMK keurmerk. Conversiefactor “gri</w:t>
      </w:r>
      <w:r w:rsidR="00CC09EE">
        <w:t>jze stroom” is gerekend met; 523</w:t>
      </w:r>
      <w:r>
        <w:t xml:space="preserve"> gram per kWh. De conversiefactor voor stroom op basi</w:t>
      </w:r>
      <w:r w:rsidR="00CC09EE">
        <w:t>s van biomassa is berekend op 44</w:t>
      </w:r>
      <w:r>
        <w:t xml:space="preserve"> gram per kWh. </w:t>
      </w:r>
    </w:p>
    <w:p w:rsidR="00CF45D1" w:rsidRDefault="00CF45D1" w:rsidP="00CF45D1">
      <w:pPr>
        <w:pStyle w:val="Geenafstand"/>
        <w:rPr>
          <w:b/>
        </w:rPr>
      </w:pPr>
    </w:p>
    <w:p w:rsidR="00CF45D1" w:rsidRPr="00AA6E37" w:rsidRDefault="00CF45D1" w:rsidP="00CF45D1">
      <w:pPr>
        <w:pStyle w:val="Geenafstand"/>
        <w:rPr>
          <w:b/>
        </w:rPr>
      </w:pPr>
      <w:r w:rsidRPr="00AA6E37">
        <w:rPr>
          <w:b/>
        </w:rPr>
        <w:t xml:space="preserve">Scope </w:t>
      </w:r>
      <w:r>
        <w:rPr>
          <w:b/>
        </w:rPr>
        <w:t>3</w:t>
      </w:r>
    </w:p>
    <w:p w:rsidR="00867F86" w:rsidRDefault="00867F86" w:rsidP="00CF45D1">
      <w:pPr>
        <w:pStyle w:val="Geenafstand"/>
      </w:pPr>
      <w:r>
        <w:t xml:space="preserve">Binnen het bedrijf wordt niet met privé auto’s binnen werktijd gereden. Hierdoor komt de uitstoot in scope 3 op 0 uit. </w:t>
      </w:r>
    </w:p>
    <w:p w:rsidR="00867F86" w:rsidRDefault="00867F86" w:rsidP="00AA6E37">
      <w:pPr>
        <w:pStyle w:val="Geenafstand"/>
      </w:pPr>
    </w:p>
    <w:p w:rsidR="00AA6E37" w:rsidRPr="00846DCD" w:rsidRDefault="00AA6E37" w:rsidP="005D3A0C">
      <w:pPr>
        <w:pStyle w:val="Geenafstand"/>
        <w:rPr>
          <w:b/>
        </w:rPr>
      </w:pPr>
      <w:r w:rsidRPr="00846DCD">
        <w:rPr>
          <w:b/>
        </w:rPr>
        <w:t>Bedrijfsgrootte</w:t>
      </w:r>
    </w:p>
    <w:p w:rsidR="00AA6E37" w:rsidRDefault="00C67D7B" w:rsidP="00AA6E37">
      <w:pPr>
        <w:pStyle w:val="Geenafstand"/>
      </w:pPr>
      <w:r>
        <w:t>De</w:t>
      </w:r>
      <w:r w:rsidR="00884A44">
        <w:t xml:space="preserve"> totale emissie bedraagt 1.339,9</w:t>
      </w:r>
      <w:r w:rsidR="00AA6E37">
        <w:t xml:space="preserve"> ton, waarvan</w:t>
      </w:r>
      <w:r>
        <w:t xml:space="preserve"> 13</w:t>
      </w:r>
      <w:r w:rsidR="00AA6E37">
        <w:t xml:space="preserve"> ton kantoor en</w:t>
      </w:r>
      <w:r w:rsidR="00884A44">
        <w:t xml:space="preserve"> 1.326,9</w:t>
      </w:r>
      <w:r w:rsidR="00AA6E37">
        <w:t xml:space="preserve"> ton voor werken. De bijbehorende bedrijfsgrootte volgens de criteria van tabel 4.1</w:t>
      </w:r>
      <w:r>
        <w:t xml:space="preserve"> van het handboek versie 3.1 is “Klein bedrijf”</w:t>
      </w:r>
    </w:p>
    <w:p w:rsidR="00846DCD" w:rsidRDefault="00846DCD" w:rsidP="00AA6E37">
      <w:pPr>
        <w:pStyle w:val="Geenafstand"/>
      </w:pPr>
    </w:p>
    <w:p w:rsidR="00867F86" w:rsidRDefault="00867F86" w:rsidP="005D3A0C">
      <w:pPr>
        <w:pStyle w:val="Geenafstand"/>
        <w:rPr>
          <w:b/>
        </w:rPr>
      </w:pPr>
    </w:p>
    <w:p w:rsidR="00867F86" w:rsidRDefault="00867F86" w:rsidP="005D3A0C">
      <w:pPr>
        <w:pStyle w:val="Geenafstand"/>
        <w:rPr>
          <w:b/>
        </w:rPr>
      </w:pPr>
    </w:p>
    <w:p w:rsidR="00AA6E37" w:rsidRPr="00846DCD" w:rsidRDefault="00AA6E37" w:rsidP="005D3A0C">
      <w:pPr>
        <w:pStyle w:val="Geenafstand"/>
        <w:rPr>
          <w:b/>
        </w:rPr>
      </w:pPr>
      <w:r w:rsidRPr="00846DCD">
        <w:rPr>
          <w:b/>
        </w:rPr>
        <w:t>Verificatie</w:t>
      </w:r>
    </w:p>
    <w:p w:rsidR="00846DCD" w:rsidRDefault="00C67D7B" w:rsidP="00AA6E37">
      <w:pPr>
        <w:pStyle w:val="Geenafstand"/>
      </w:pPr>
      <w:r>
        <w:lastRenderedPageBreak/>
        <w:t xml:space="preserve">Eis 2.A.2, verificatie emissie inventaris. De directie heeft er voor gekozen haar emissie-inventaris niet door een CI / NEA-erkend bureau te laten verifiëren. </w:t>
      </w:r>
    </w:p>
    <w:p w:rsidR="00CF45D1" w:rsidRDefault="00CF45D1" w:rsidP="00AA6E37">
      <w:pPr>
        <w:pStyle w:val="Geenafstand"/>
      </w:pPr>
    </w:p>
    <w:p w:rsidR="00AA6E37" w:rsidRPr="00846DCD" w:rsidRDefault="00AA6E37" w:rsidP="005D3A0C">
      <w:pPr>
        <w:pStyle w:val="Geenafstand"/>
        <w:rPr>
          <w:b/>
        </w:rPr>
      </w:pPr>
      <w:r w:rsidRPr="00846DCD">
        <w:rPr>
          <w:b/>
        </w:rPr>
        <w:t>Verbranding biomassa</w:t>
      </w:r>
    </w:p>
    <w:p w:rsidR="00AA6E37" w:rsidRDefault="00AA6E37" w:rsidP="00AA6E37">
      <w:pPr>
        <w:pStyle w:val="Geenafstand"/>
      </w:pPr>
      <w:r>
        <w:t>Verbranding van biomassa vond niet plaats bij</w:t>
      </w:r>
      <w:r w:rsidR="00F96CAC">
        <w:t xml:space="preserve"> Van Boxmeer in 202</w:t>
      </w:r>
      <w:r w:rsidR="00EE4DCD">
        <w:t>2</w:t>
      </w:r>
      <w:r w:rsidR="00F96CAC">
        <w:t>.</w:t>
      </w:r>
    </w:p>
    <w:p w:rsidR="00846DCD" w:rsidRDefault="00846DCD" w:rsidP="00AA6E37">
      <w:pPr>
        <w:pStyle w:val="Geenafstand"/>
      </w:pPr>
    </w:p>
    <w:p w:rsidR="00AA6E37" w:rsidRPr="00846DCD" w:rsidRDefault="00AA6E37" w:rsidP="005D3A0C">
      <w:pPr>
        <w:pStyle w:val="Geenafstand"/>
        <w:rPr>
          <w:b/>
        </w:rPr>
      </w:pPr>
      <w:r w:rsidRPr="00846DCD">
        <w:rPr>
          <w:b/>
        </w:rPr>
        <w:t>GHG verwijderingen</w:t>
      </w:r>
    </w:p>
    <w:p w:rsidR="00AA6E37" w:rsidRDefault="00AA6E37" w:rsidP="00AA6E37">
      <w:pPr>
        <w:pStyle w:val="Geenafstand"/>
      </w:pPr>
      <w:r>
        <w:t xml:space="preserve">Er heeft geen broeikasgasverwijdering of </w:t>
      </w:r>
      <w:r w:rsidR="00F96CAC">
        <w:t>compensatie plaats gevonden bij Van Boxmeer in 202</w:t>
      </w:r>
      <w:r w:rsidR="00EE4DCD">
        <w:t>2</w:t>
      </w:r>
      <w:r w:rsidR="00F96CAC">
        <w:t>.</w:t>
      </w:r>
    </w:p>
    <w:p w:rsidR="00846DCD" w:rsidRDefault="00846DCD" w:rsidP="00AA6E37">
      <w:pPr>
        <w:pStyle w:val="Geenafstand"/>
      </w:pPr>
    </w:p>
    <w:p w:rsidR="00AA6E37" w:rsidRPr="00846DCD" w:rsidRDefault="00AA6E37" w:rsidP="005D3A0C">
      <w:pPr>
        <w:pStyle w:val="Geenafstand"/>
        <w:rPr>
          <w:b/>
        </w:rPr>
      </w:pPr>
      <w:r w:rsidRPr="00846DCD">
        <w:rPr>
          <w:b/>
        </w:rPr>
        <w:t>Uitzonderingen</w:t>
      </w:r>
    </w:p>
    <w:p w:rsidR="00AA6E37" w:rsidRDefault="00AA6E37" w:rsidP="00AA6E37">
      <w:pPr>
        <w:pStyle w:val="Geenafstand"/>
      </w:pPr>
      <w:r>
        <w:t>Er zijn geen noemenswaardige uitzonderingen te noemen op het GHG protocol.</w:t>
      </w:r>
    </w:p>
    <w:p w:rsidR="00CF45D1" w:rsidRDefault="00CF45D1" w:rsidP="00AA6E37">
      <w:pPr>
        <w:pStyle w:val="Geenafstand"/>
      </w:pPr>
    </w:p>
    <w:p w:rsidR="00AA6E37" w:rsidRPr="00846DCD" w:rsidRDefault="00AA6E37" w:rsidP="00846DCD">
      <w:pPr>
        <w:pStyle w:val="Geenafstand"/>
        <w:rPr>
          <w:b/>
        </w:rPr>
      </w:pPr>
      <w:r w:rsidRPr="00846DCD">
        <w:rPr>
          <w:b/>
        </w:rPr>
        <w:t xml:space="preserve">Belangrijkste </w:t>
      </w:r>
      <w:proofErr w:type="spellStart"/>
      <w:r w:rsidRPr="00846DCD">
        <w:rPr>
          <w:b/>
        </w:rPr>
        <w:t>beïnvloeders</w:t>
      </w:r>
      <w:proofErr w:type="spellEnd"/>
    </w:p>
    <w:p w:rsidR="00AA6E37" w:rsidRDefault="00F96CAC" w:rsidP="00AA6E37">
      <w:pPr>
        <w:pStyle w:val="Geenafstand"/>
      </w:pPr>
      <w:r>
        <w:t xml:space="preserve">Binnen van Boxmeer </w:t>
      </w:r>
      <w:r w:rsidR="00AA6E37">
        <w:t>zijn geen individuele personen te benoemen die een dermate invloed op de CO2 footprint hebben dat gedragsverandering van deze individuele persoon alleen al zou zorgen voor een significante verandering in de CO2 footprint.</w:t>
      </w:r>
    </w:p>
    <w:p w:rsidR="00AA6E37" w:rsidRDefault="00AA6E37" w:rsidP="00AA6E37">
      <w:pPr>
        <w:pStyle w:val="Geenafstand"/>
      </w:pPr>
    </w:p>
    <w:p w:rsidR="00AA6E37" w:rsidRPr="00846DCD" w:rsidRDefault="00AA6E37" w:rsidP="00846DCD">
      <w:pPr>
        <w:pStyle w:val="Geenafstand"/>
        <w:rPr>
          <w:b/>
        </w:rPr>
      </w:pPr>
      <w:r w:rsidRPr="00846DCD">
        <w:rPr>
          <w:b/>
        </w:rPr>
        <w:t>Toekomst</w:t>
      </w:r>
    </w:p>
    <w:p w:rsidR="00AA6E37" w:rsidRDefault="00AA6E37" w:rsidP="00AA6E37">
      <w:pPr>
        <w:pStyle w:val="Geenafstand"/>
      </w:pPr>
      <w:r>
        <w:t>De emissie in de paragrafen hierboven</w:t>
      </w:r>
      <w:r w:rsidR="0089130B">
        <w:t xml:space="preserve"> zijn vastgesteld voor het jaar 202</w:t>
      </w:r>
      <w:r w:rsidR="00EE4DCD">
        <w:t>2</w:t>
      </w:r>
      <w:r w:rsidR="0089130B">
        <w:t xml:space="preserve">. </w:t>
      </w:r>
      <w:r>
        <w:t>De verwachting is dat de</w:t>
      </w:r>
      <w:r w:rsidR="0089130B">
        <w:t>ze emissie in het komende jaar, 202</w:t>
      </w:r>
      <w:r w:rsidR="00EE4DCD">
        <w:t>3</w:t>
      </w:r>
      <w:r w:rsidR="0089130B">
        <w:t xml:space="preserve">, </w:t>
      </w:r>
      <w:r>
        <w:t>niet aan grote verandering onderhevig zal zijn. Wel zal, gezien d</w:t>
      </w:r>
      <w:r w:rsidR="0089130B">
        <w:t>e doelstellingen van het bedrijf,</w:t>
      </w:r>
      <w:r>
        <w:t xml:space="preserve"> de CO2 uitstoot met</w:t>
      </w:r>
      <w:r w:rsidR="0089130B">
        <w:t xml:space="preserve"> 1,5% dalen</w:t>
      </w:r>
      <w:r w:rsidR="005A59E4">
        <w:t xml:space="preserve"> door bijvoorbeeld de investering in zonnepanelen</w:t>
      </w:r>
      <w:r w:rsidR="0089130B">
        <w:t xml:space="preserve">. </w:t>
      </w:r>
      <w:r>
        <w:t xml:space="preserve"> </w:t>
      </w:r>
    </w:p>
    <w:p w:rsidR="00846DCD" w:rsidRDefault="00846DCD" w:rsidP="00AA6E37">
      <w:pPr>
        <w:pStyle w:val="Geenafstand"/>
      </w:pPr>
    </w:p>
    <w:p w:rsidR="00AA6E37" w:rsidRPr="00846DCD" w:rsidRDefault="00AA6E37" w:rsidP="00846DCD">
      <w:pPr>
        <w:pStyle w:val="Geenafstand"/>
        <w:rPr>
          <w:b/>
        </w:rPr>
      </w:pPr>
      <w:r w:rsidRPr="00846DCD">
        <w:rPr>
          <w:b/>
        </w:rPr>
        <w:t>Significante veranderingen</w:t>
      </w:r>
    </w:p>
    <w:p w:rsidR="00AA6E37" w:rsidRDefault="00AA6E37" w:rsidP="00AA6E37">
      <w:pPr>
        <w:pStyle w:val="Geenafstand"/>
      </w:pPr>
      <w:r>
        <w:t xml:space="preserve">Zoals </w:t>
      </w:r>
      <w:r w:rsidR="005B64BF">
        <w:t xml:space="preserve">in hoofdstuk 4 beschreven geldt 2019 </w:t>
      </w:r>
      <w:r>
        <w:t xml:space="preserve">als basisjaar. In deze paragraaf worden al de eerste </w:t>
      </w:r>
      <w:r w:rsidR="005B64BF">
        <w:t>vera</w:t>
      </w:r>
      <w:r w:rsidR="00F601AC">
        <w:t>nderingen gepresenteerd van 2021</w:t>
      </w:r>
      <w:r w:rsidR="005B64BF">
        <w:t xml:space="preserve"> t.o.v. 2019</w:t>
      </w:r>
      <w:r>
        <w:t>.</w:t>
      </w:r>
    </w:p>
    <w:p w:rsidR="00AA6E37" w:rsidRDefault="00AA6E37" w:rsidP="00AA6E37">
      <w:pPr>
        <w:pStyle w:val="Geenafstand"/>
      </w:pPr>
    </w:p>
    <w:tbl>
      <w:tblPr>
        <w:tblStyle w:val="Tabelraster"/>
        <w:tblW w:w="0" w:type="auto"/>
        <w:tblLook w:val="04A0" w:firstRow="1" w:lastRow="0" w:firstColumn="1" w:lastColumn="0" w:noHBand="0" w:noVBand="1"/>
      </w:tblPr>
      <w:tblGrid>
        <w:gridCol w:w="4390"/>
        <w:gridCol w:w="1134"/>
        <w:gridCol w:w="1134"/>
        <w:gridCol w:w="1275"/>
        <w:gridCol w:w="1129"/>
      </w:tblGrid>
      <w:tr w:rsidR="00CF45D1" w:rsidRPr="0054527E" w:rsidTr="00CF7F62">
        <w:tc>
          <w:tcPr>
            <w:tcW w:w="4390" w:type="dxa"/>
            <w:shd w:val="clear" w:color="auto" w:fill="0B3B60"/>
          </w:tcPr>
          <w:p w:rsidR="00CF45D1" w:rsidRPr="0054527E" w:rsidRDefault="00CF45D1" w:rsidP="00CF7F62">
            <w:pPr>
              <w:pStyle w:val="Geenafstand"/>
              <w:rPr>
                <w:b/>
                <w:color w:val="FFFFFF" w:themeColor="background1"/>
              </w:rPr>
            </w:pPr>
            <w:r w:rsidRPr="0054527E">
              <w:rPr>
                <w:b/>
                <w:color w:val="FFFFFF" w:themeColor="background1"/>
              </w:rPr>
              <w:t>Scope 1</w:t>
            </w:r>
          </w:p>
        </w:tc>
        <w:tc>
          <w:tcPr>
            <w:tcW w:w="1134" w:type="dxa"/>
            <w:shd w:val="clear" w:color="auto" w:fill="0B3B60"/>
          </w:tcPr>
          <w:p w:rsidR="00CF45D1" w:rsidRPr="0054527E" w:rsidRDefault="00477269" w:rsidP="00CF7F62">
            <w:pPr>
              <w:pStyle w:val="Geenafstand"/>
              <w:rPr>
                <w:b/>
                <w:color w:val="FFFFFF" w:themeColor="background1"/>
              </w:rPr>
            </w:pPr>
            <w:r>
              <w:rPr>
                <w:b/>
                <w:color w:val="FFFFFF" w:themeColor="background1"/>
              </w:rPr>
              <w:t>2019</w:t>
            </w:r>
          </w:p>
        </w:tc>
        <w:tc>
          <w:tcPr>
            <w:tcW w:w="1134" w:type="dxa"/>
            <w:shd w:val="clear" w:color="auto" w:fill="0B3B60"/>
          </w:tcPr>
          <w:p w:rsidR="00CF45D1" w:rsidRPr="0054527E" w:rsidRDefault="00CF45D1" w:rsidP="00CF7F62">
            <w:pPr>
              <w:pStyle w:val="Geenafstand"/>
              <w:rPr>
                <w:b/>
                <w:color w:val="FFFFFF" w:themeColor="background1"/>
              </w:rPr>
            </w:pPr>
            <w:r w:rsidRPr="0054527E">
              <w:rPr>
                <w:b/>
                <w:color w:val="FFFFFF" w:themeColor="background1"/>
              </w:rPr>
              <w:t>20</w:t>
            </w:r>
            <w:r w:rsidR="00477269">
              <w:rPr>
                <w:b/>
                <w:color w:val="FFFFFF" w:themeColor="background1"/>
              </w:rPr>
              <w:t>20</w:t>
            </w:r>
          </w:p>
        </w:tc>
        <w:tc>
          <w:tcPr>
            <w:tcW w:w="1275" w:type="dxa"/>
            <w:shd w:val="clear" w:color="auto" w:fill="0B3B60"/>
          </w:tcPr>
          <w:p w:rsidR="00CF45D1" w:rsidRPr="0054527E" w:rsidRDefault="00477269" w:rsidP="00CF7F62">
            <w:pPr>
              <w:pStyle w:val="Geenafstand"/>
              <w:rPr>
                <w:b/>
                <w:color w:val="FFFFFF" w:themeColor="background1"/>
              </w:rPr>
            </w:pPr>
            <w:r>
              <w:rPr>
                <w:b/>
                <w:color w:val="FFFFFF" w:themeColor="background1"/>
              </w:rPr>
              <w:t>2021</w:t>
            </w:r>
          </w:p>
        </w:tc>
        <w:tc>
          <w:tcPr>
            <w:tcW w:w="1129" w:type="dxa"/>
            <w:shd w:val="clear" w:color="auto" w:fill="0B3B60"/>
          </w:tcPr>
          <w:p w:rsidR="00CF45D1" w:rsidRPr="0054527E" w:rsidRDefault="00477269" w:rsidP="00CF7F62">
            <w:pPr>
              <w:pStyle w:val="Geenafstand"/>
              <w:rPr>
                <w:b/>
                <w:color w:val="FFFFFF" w:themeColor="background1"/>
              </w:rPr>
            </w:pPr>
            <w:r>
              <w:rPr>
                <w:b/>
                <w:color w:val="FFFFFF" w:themeColor="background1"/>
              </w:rPr>
              <w:t>2022</w:t>
            </w:r>
          </w:p>
        </w:tc>
      </w:tr>
      <w:tr w:rsidR="00CF45D1" w:rsidTr="00CF7F62">
        <w:tc>
          <w:tcPr>
            <w:tcW w:w="4390" w:type="dxa"/>
          </w:tcPr>
          <w:p w:rsidR="00CF45D1" w:rsidRPr="004700C2" w:rsidRDefault="00CF45D1" w:rsidP="00CF7F62">
            <w:r w:rsidRPr="004700C2">
              <w:t>Gasverbruik</w:t>
            </w:r>
          </w:p>
        </w:tc>
        <w:tc>
          <w:tcPr>
            <w:tcW w:w="1134" w:type="dxa"/>
          </w:tcPr>
          <w:p w:rsidR="00CF45D1" w:rsidRDefault="003A7799" w:rsidP="00CF7F62">
            <w:pPr>
              <w:pStyle w:val="Geenafstand"/>
            </w:pPr>
            <w:r>
              <w:t>8,5</w:t>
            </w:r>
          </w:p>
        </w:tc>
        <w:tc>
          <w:tcPr>
            <w:tcW w:w="1134" w:type="dxa"/>
          </w:tcPr>
          <w:p w:rsidR="00CF45D1" w:rsidRDefault="003A7799" w:rsidP="00CF7F62">
            <w:pPr>
              <w:pStyle w:val="Geenafstand"/>
            </w:pPr>
            <w:r>
              <w:t>9,4</w:t>
            </w:r>
          </w:p>
        </w:tc>
        <w:tc>
          <w:tcPr>
            <w:tcW w:w="1275" w:type="dxa"/>
          </w:tcPr>
          <w:p w:rsidR="00CF45D1" w:rsidRDefault="000F7866" w:rsidP="00CF7F62">
            <w:pPr>
              <w:pStyle w:val="Geenafstand"/>
            </w:pPr>
            <w:r>
              <w:t>12,1</w:t>
            </w:r>
          </w:p>
        </w:tc>
        <w:tc>
          <w:tcPr>
            <w:tcW w:w="1129" w:type="dxa"/>
          </w:tcPr>
          <w:p w:rsidR="00CF45D1" w:rsidRDefault="00702733" w:rsidP="00CF7F62">
            <w:pPr>
              <w:pStyle w:val="Geenafstand"/>
            </w:pPr>
            <w:r>
              <w:t>10,2</w:t>
            </w:r>
          </w:p>
        </w:tc>
      </w:tr>
      <w:tr w:rsidR="00CF45D1" w:rsidTr="00CF7F62">
        <w:tc>
          <w:tcPr>
            <w:tcW w:w="4390" w:type="dxa"/>
          </w:tcPr>
          <w:p w:rsidR="00CF45D1" w:rsidRPr="004700C2" w:rsidRDefault="00801D7C" w:rsidP="00CF7F62">
            <w:r>
              <w:t>Dieselverbruik materieel en auto’s</w:t>
            </w:r>
          </w:p>
        </w:tc>
        <w:tc>
          <w:tcPr>
            <w:tcW w:w="1134" w:type="dxa"/>
          </w:tcPr>
          <w:p w:rsidR="00CF45D1" w:rsidRDefault="003A7799" w:rsidP="00CF7F62">
            <w:pPr>
              <w:pStyle w:val="Geenafstand"/>
            </w:pPr>
            <w:r>
              <w:t>1.185,5</w:t>
            </w:r>
          </w:p>
        </w:tc>
        <w:tc>
          <w:tcPr>
            <w:tcW w:w="1134" w:type="dxa"/>
          </w:tcPr>
          <w:p w:rsidR="00CF45D1" w:rsidRDefault="003A7799" w:rsidP="00CF7F62">
            <w:pPr>
              <w:pStyle w:val="Geenafstand"/>
            </w:pPr>
            <w:r>
              <w:t>1.196,8</w:t>
            </w:r>
          </w:p>
        </w:tc>
        <w:tc>
          <w:tcPr>
            <w:tcW w:w="1275" w:type="dxa"/>
          </w:tcPr>
          <w:p w:rsidR="00CF45D1" w:rsidRDefault="000F7866" w:rsidP="00CF7F62">
            <w:pPr>
              <w:pStyle w:val="Geenafstand"/>
            </w:pPr>
            <w:r>
              <w:t>1.389,5</w:t>
            </w:r>
          </w:p>
        </w:tc>
        <w:tc>
          <w:tcPr>
            <w:tcW w:w="1129" w:type="dxa"/>
          </w:tcPr>
          <w:p w:rsidR="00CF45D1" w:rsidRDefault="00702733" w:rsidP="00CF7F62">
            <w:pPr>
              <w:pStyle w:val="Geenafstand"/>
            </w:pPr>
            <w:r>
              <w:t>1.321,5</w:t>
            </w:r>
          </w:p>
        </w:tc>
      </w:tr>
      <w:tr w:rsidR="00CF45D1" w:rsidTr="00CF7F62">
        <w:tc>
          <w:tcPr>
            <w:tcW w:w="4390" w:type="dxa"/>
          </w:tcPr>
          <w:p w:rsidR="00CF45D1" w:rsidRPr="004700C2" w:rsidRDefault="00801D7C" w:rsidP="00CF7F62">
            <w:r>
              <w:t>Benzineverbruik materieel en auto’s</w:t>
            </w:r>
          </w:p>
        </w:tc>
        <w:tc>
          <w:tcPr>
            <w:tcW w:w="1134" w:type="dxa"/>
          </w:tcPr>
          <w:p w:rsidR="00CF45D1" w:rsidRDefault="003A7799" w:rsidP="00CF7F62">
            <w:pPr>
              <w:pStyle w:val="Geenafstand"/>
            </w:pPr>
            <w:r>
              <w:t>0,2</w:t>
            </w:r>
          </w:p>
        </w:tc>
        <w:tc>
          <w:tcPr>
            <w:tcW w:w="1134" w:type="dxa"/>
          </w:tcPr>
          <w:p w:rsidR="00CF45D1" w:rsidRDefault="003A7799" w:rsidP="00CF7F62">
            <w:pPr>
              <w:pStyle w:val="Geenafstand"/>
            </w:pPr>
            <w:r>
              <w:t>0,4</w:t>
            </w:r>
          </w:p>
        </w:tc>
        <w:tc>
          <w:tcPr>
            <w:tcW w:w="1275" w:type="dxa"/>
          </w:tcPr>
          <w:p w:rsidR="00CF45D1" w:rsidRDefault="000F7866" w:rsidP="00CF7F62">
            <w:pPr>
              <w:pStyle w:val="Geenafstand"/>
            </w:pPr>
            <w:r>
              <w:t>0,0</w:t>
            </w:r>
          </w:p>
        </w:tc>
        <w:tc>
          <w:tcPr>
            <w:tcW w:w="1129" w:type="dxa"/>
          </w:tcPr>
          <w:p w:rsidR="00CF45D1" w:rsidRDefault="00702733" w:rsidP="00CF7F62">
            <w:pPr>
              <w:pStyle w:val="Geenafstand"/>
            </w:pPr>
            <w:r>
              <w:t>0,0</w:t>
            </w:r>
          </w:p>
        </w:tc>
      </w:tr>
      <w:tr w:rsidR="00801D7C" w:rsidTr="00CF7F62">
        <w:tc>
          <w:tcPr>
            <w:tcW w:w="4390" w:type="dxa"/>
          </w:tcPr>
          <w:p w:rsidR="00801D7C" w:rsidRPr="004700C2" w:rsidRDefault="00801D7C" w:rsidP="00CF7F62">
            <w:proofErr w:type="spellStart"/>
            <w:r>
              <w:t>Aspen</w:t>
            </w:r>
            <w:proofErr w:type="spellEnd"/>
            <w:r>
              <w:t xml:space="preserve"> verbruik materieel</w:t>
            </w:r>
          </w:p>
        </w:tc>
        <w:tc>
          <w:tcPr>
            <w:tcW w:w="1134" w:type="dxa"/>
          </w:tcPr>
          <w:p w:rsidR="00801D7C" w:rsidRDefault="003A7799" w:rsidP="00CF7F62">
            <w:pPr>
              <w:pStyle w:val="Geenafstand"/>
            </w:pPr>
            <w:r>
              <w:t>2,8</w:t>
            </w:r>
          </w:p>
        </w:tc>
        <w:tc>
          <w:tcPr>
            <w:tcW w:w="1134" w:type="dxa"/>
          </w:tcPr>
          <w:p w:rsidR="00801D7C" w:rsidRDefault="003A7799" w:rsidP="00CF7F62">
            <w:pPr>
              <w:pStyle w:val="Geenafstand"/>
            </w:pPr>
            <w:r>
              <w:t>2,6</w:t>
            </w:r>
          </w:p>
        </w:tc>
        <w:tc>
          <w:tcPr>
            <w:tcW w:w="1275" w:type="dxa"/>
          </w:tcPr>
          <w:p w:rsidR="00801D7C" w:rsidRDefault="000F7866" w:rsidP="00CF7F62">
            <w:pPr>
              <w:pStyle w:val="Geenafstand"/>
            </w:pPr>
            <w:r>
              <w:t>2,8</w:t>
            </w:r>
          </w:p>
        </w:tc>
        <w:tc>
          <w:tcPr>
            <w:tcW w:w="1129" w:type="dxa"/>
          </w:tcPr>
          <w:p w:rsidR="00801D7C" w:rsidRDefault="00702733" w:rsidP="00CF7F62">
            <w:pPr>
              <w:pStyle w:val="Geenafstand"/>
            </w:pPr>
            <w:r>
              <w:t>2,7</w:t>
            </w:r>
          </w:p>
        </w:tc>
      </w:tr>
      <w:tr w:rsidR="00801D7C" w:rsidTr="00CF7F62">
        <w:tc>
          <w:tcPr>
            <w:tcW w:w="4390" w:type="dxa"/>
          </w:tcPr>
          <w:p w:rsidR="00801D7C" w:rsidRPr="004700C2" w:rsidRDefault="00801D7C" w:rsidP="00CF7F62">
            <w:r>
              <w:t>LPG verbruik materieel</w:t>
            </w:r>
          </w:p>
        </w:tc>
        <w:tc>
          <w:tcPr>
            <w:tcW w:w="1134" w:type="dxa"/>
          </w:tcPr>
          <w:p w:rsidR="00801D7C" w:rsidRDefault="003A7799" w:rsidP="00CF7F62">
            <w:pPr>
              <w:pStyle w:val="Geenafstand"/>
            </w:pPr>
            <w:r>
              <w:t>2,1</w:t>
            </w:r>
          </w:p>
        </w:tc>
        <w:tc>
          <w:tcPr>
            <w:tcW w:w="1134" w:type="dxa"/>
          </w:tcPr>
          <w:p w:rsidR="00801D7C" w:rsidRDefault="003A7799" w:rsidP="00CF7F62">
            <w:pPr>
              <w:pStyle w:val="Geenafstand"/>
            </w:pPr>
            <w:r>
              <w:t>3,2</w:t>
            </w:r>
          </w:p>
        </w:tc>
        <w:tc>
          <w:tcPr>
            <w:tcW w:w="1275" w:type="dxa"/>
          </w:tcPr>
          <w:p w:rsidR="00801D7C" w:rsidRDefault="000F7866" w:rsidP="00CF7F62">
            <w:pPr>
              <w:pStyle w:val="Geenafstand"/>
            </w:pPr>
            <w:r>
              <w:t>2,3</w:t>
            </w:r>
          </w:p>
        </w:tc>
        <w:tc>
          <w:tcPr>
            <w:tcW w:w="1129" w:type="dxa"/>
          </w:tcPr>
          <w:p w:rsidR="00801D7C" w:rsidRDefault="00702733" w:rsidP="00CF7F62">
            <w:pPr>
              <w:pStyle w:val="Geenafstand"/>
            </w:pPr>
            <w:r>
              <w:t>0,7</w:t>
            </w:r>
          </w:p>
        </w:tc>
      </w:tr>
      <w:tr w:rsidR="00CF45D1" w:rsidTr="00CF7F62">
        <w:tc>
          <w:tcPr>
            <w:tcW w:w="4390" w:type="dxa"/>
          </w:tcPr>
          <w:p w:rsidR="00CF45D1" w:rsidRPr="004700C2" w:rsidRDefault="00CF45D1" w:rsidP="00CF7F62"/>
        </w:tc>
        <w:tc>
          <w:tcPr>
            <w:tcW w:w="1134" w:type="dxa"/>
          </w:tcPr>
          <w:p w:rsidR="00CF45D1" w:rsidRDefault="00CF45D1" w:rsidP="00CF7F62">
            <w:pPr>
              <w:pStyle w:val="Geenafstand"/>
            </w:pPr>
          </w:p>
        </w:tc>
        <w:tc>
          <w:tcPr>
            <w:tcW w:w="1134" w:type="dxa"/>
          </w:tcPr>
          <w:p w:rsidR="00CF45D1" w:rsidRDefault="00CF45D1" w:rsidP="00CF7F62">
            <w:pPr>
              <w:pStyle w:val="Geenafstand"/>
            </w:pPr>
          </w:p>
        </w:tc>
        <w:tc>
          <w:tcPr>
            <w:tcW w:w="1275" w:type="dxa"/>
          </w:tcPr>
          <w:p w:rsidR="00CF45D1" w:rsidRDefault="00CF45D1" w:rsidP="00CF7F62">
            <w:pPr>
              <w:pStyle w:val="Geenafstand"/>
            </w:pPr>
          </w:p>
        </w:tc>
        <w:tc>
          <w:tcPr>
            <w:tcW w:w="1129" w:type="dxa"/>
          </w:tcPr>
          <w:p w:rsidR="00CF45D1" w:rsidRDefault="00CF45D1" w:rsidP="00CF7F62">
            <w:pPr>
              <w:pStyle w:val="Geenafstand"/>
            </w:pPr>
          </w:p>
        </w:tc>
      </w:tr>
      <w:tr w:rsidR="00CF45D1" w:rsidRPr="0054527E" w:rsidTr="00CF7F62">
        <w:tc>
          <w:tcPr>
            <w:tcW w:w="4390" w:type="dxa"/>
          </w:tcPr>
          <w:p w:rsidR="00CF45D1" w:rsidRPr="0054527E" w:rsidRDefault="00CF45D1" w:rsidP="00CF7F62">
            <w:pPr>
              <w:pStyle w:val="Geenafstand"/>
              <w:rPr>
                <w:b/>
              </w:rPr>
            </w:pPr>
            <w:r w:rsidRPr="0054527E">
              <w:rPr>
                <w:b/>
              </w:rPr>
              <w:t>Totaal scope 1</w:t>
            </w:r>
          </w:p>
        </w:tc>
        <w:tc>
          <w:tcPr>
            <w:tcW w:w="1134" w:type="dxa"/>
          </w:tcPr>
          <w:p w:rsidR="00CF45D1" w:rsidRPr="0054527E" w:rsidRDefault="003A7799" w:rsidP="00CF7F62">
            <w:pPr>
              <w:pStyle w:val="Geenafstand"/>
              <w:rPr>
                <w:b/>
              </w:rPr>
            </w:pPr>
            <w:r>
              <w:rPr>
                <w:b/>
              </w:rPr>
              <w:t>1.199,1</w:t>
            </w:r>
          </w:p>
        </w:tc>
        <w:tc>
          <w:tcPr>
            <w:tcW w:w="1134" w:type="dxa"/>
          </w:tcPr>
          <w:p w:rsidR="00CF45D1" w:rsidRPr="0054527E" w:rsidRDefault="003A7799" w:rsidP="00CF7F62">
            <w:pPr>
              <w:pStyle w:val="Geenafstand"/>
              <w:rPr>
                <w:b/>
              </w:rPr>
            </w:pPr>
            <w:r>
              <w:rPr>
                <w:b/>
              </w:rPr>
              <w:t>1.212,4</w:t>
            </w:r>
          </w:p>
        </w:tc>
        <w:tc>
          <w:tcPr>
            <w:tcW w:w="1275" w:type="dxa"/>
          </w:tcPr>
          <w:p w:rsidR="00CF45D1" w:rsidRPr="0054527E" w:rsidRDefault="000F7866" w:rsidP="00CF7F62">
            <w:pPr>
              <w:pStyle w:val="Geenafstand"/>
              <w:rPr>
                <w:b/>
              </w:rPr>
            </w:pPr>
            <w:r>
              <w:rPr>
                <w:b/>
              </w:rPr>
              <w:t>1.406,7</w:t>
            </w:r>
          </w:p>
        </w:tc>
        <w:tc>
          <w:tcPr>
            <w:tcW w:w="1129" w:type="dxa"/>
          </w:tcPr>
          <w:p w:rsidR="00CF45D1" w:rsidRPr="0054527E" w:rsidRDefault="001E5B47" w:rsidP="00CF7F62">
            <w:pPr>
              <w:pStyle w:val="Geenafstand"/>
              <w:rPr>
                <w:b/>
              </w:rPr>
            </w:pPr>
            <w:r>
              <w:rPr>
                <w:b/>
              </w:rPr>
              <w:t>1.335,2</w:t>
            </w:r>
          </w:p>
        </w:tc>
      </w:tr>
      <w:tr w:rsidR="00CF45D1" w:rsidTr="00CF7F62">
        <w:tc>
          <w:tcPr>
            <w:tcW w:w="4390" w:type="dxa"/>
          </w:tcPr>
          <w:p w:rsidR="00CF45D1" w:rsidRDefault="00CF45D1" w:rsidP="00CF7F62">
            <w:pPr>
              <w:pStyle w:val="Geenafstand"/>
            </w:pPr>
          </w:p>
        </w:tc>
        <w:tc>
          <w:tcPr>
            <w:tcW w:w="1134" w:type="dxa"/>
          </w:tcPr>
          <w:p w:rsidR="00CF45D1" w:rsidRDefault="00CF45D1" w:rsidP="00CF7F62">
            <w:pPr>
              <w:pStyle w:val="Geenafstand"/>
            </w:pPr>
          </w:p>
        </w:tc>
        <w:tc>
          <w:tcPr>
            <w:tcW w:w="1134" w:type="dxa"/>
          </w:tcPr>
          <w:p w:rsidR="00CF45D1" w:rsidRDefault="00CF45D1" w:rsidP="00CF7F62">
            <w:pPr>
              <w:pStyle w:val="Geenafstand"/>
            </w:pPr>
          </w:p>
        </w:tc>
        <w:tc>
          <w:tcPr>
            <w:tcW w:w="1275" w:type="dxa"/>
          </w:tcPr>
          <w:p w:rsidR="00CF45D1" w:rsidRDefault="00CF45D1" w:rsidP="00CF7F62">
            <w:pPr>
              <w:pStyle w:val="Geenafstand"/>
            </w:pPr>
          </w:p>
        </w:tc>
        <w:tc>
          <w:tcPr>
            <w:tcW w:w="1129" w:type="dxa"/>
          </w:tcPr>
          <w:p w:rsidR="00CF45D1" w:rsidRDefault="00CF45D1" w:rsidP="00CF7F62">
            <w:pPr>
              <w:pStyle w:val="Geenafstand"/>
            </w:pPr>
          </w:p>
        </w:tc>
      </w:tr>
      <w:tr w:rsidR="00CF45D1" w:rsidRPr="0054527E" w:rsidTr="00CF7F62">
        <w:tc>
          <w:tcPr>
            <w:tcW w:w="4390" w:type="dxa"/>
            <w:shd w:val="clear" w:color="auto" w:fill="0B3B60"/>
          </w:tcPr>
          <w:p w:rsidR="00CF45D1" w:rsidRPr="0054527E" w:rsidRDefault="00CF45D1" w:rsidP="00CF7F62">
            <w:pPr>
              <w:pStyle w:val="Geenafstand"/>
              <w:rPr>
                <w:b/>
                <w:color w:val="FFFFFF" w:themeColor="background1"/>
              </w:rPr>
            </w:pPr>
            <w:r w:rsidRPr="0054527E">
              <w:rPr>
                <w:b/>
                <w:color w:val="FFFFFF" w:themeColor="background1"/>
              </w:rPr>
              <w:t>Scope 2</w:t>
            </w:r>
          </w:p>
        </w:tc>
        <w:tc>
          <w:tcPr>
            <w:tcW w:w="1134" w:type="dxa"/>
            <w:shd w:val="clear" w:color="auto" w:fill="0B3B60"/>
          </w:tcPr>
          <w:p w:rsidR="00CF45D1" w:rsidRPr="0054527E" w:rsidRDefault="00CF45D1" w:rsidP="00CF7F62">
            <w:pPr>
              <w:pStyle w:val="Geenafstand"/>
              <w:rPr>
                <w:b/>
                <w:color w:val="FFFFFF" w:themeColor="background1"/>
              </w:rPr>
            </w:pPr>
          </w:p>
        </w:tc>
        <w:tc>
          <w:tcPr>
            <w:tcW w:w="1134" w:type="dxa"/>
            <w:shd w:val="clear" w:color="auto" w:fill="0B3B60"/>
          </w:tcPr>
          <w:p w:rsidR="00CF45D1" w:rsidRPr="0054527E" w:rsidRDefault="00CF45D1" w:rsidP="00CF7F62">
            <w:pPr>
              <w:pStyle w:val="Geenafstand"/>
              <w:rPr>
                <w:b/>
                <w:color w:val="FFFFFF" w:themeColor="background1"/>
              </w:rPr>
            </w:pPr>
          </w:p>
        </w:tc>
        <w:tc>
          <w:tcPr>
            <w:tcW w:w="1275" w:type="dxa"/>
            <w:shd w:val="clear" w:color="auto" w:fill="0B3B60"/>
          </w:tcPr>
          <w:p w:rsidR="00CF45D1" w:rsidRPr="0054527E" w:rsidRDefault="00CF45D1" w:rsidP="00CF7F62">
            <w:pPr>
              <w:pStyle w:val="Geenafstand"/>
              <w:rPr>
                <w:b/>
                <w:color w:val="FFFFFF" w:themeColor="background1"/>
              </w:rPr>
            </w:pPr>
          </w:p>
        </w:tc>
        <w:tc>
          <w:tcPr>
            <w:tcW w:w="1129" w:type="dxa"/>
            <w:shd w:val="clear" w:color="auto" w:fill="0B3B60"/>
          </w:tcPr>
          <w:p w:rsidR="00CF45D1" w:rsidRPr="0054527E" w:rsidRDefault="00CF45D1" w:rsidP="00CF7F62">
            <w:pPr>
              <w:pStyle w:val="Geenafstand"/>
              <w:rPr>
                <w:b/>
                <w:color w:val="FFFFFF" w:themeColor="background1"/>
              </w:rPr>
            </w:pPr>
          </w:p>
        </w:tc>
      </w:tr>
      <w:tr w:rsidR="00CF45D1" w:rsidTr="00CF7F62">
        <w:tc>
          <w:tcPr>
            <w:tcW w:w="4390" w:type="dxa"/>
          </w:tcPr>
          <w:p w:rsidR="00CF45D1" w:rsidRDefault="00CF45D1" w:rsidP="00CF7F62">
            <w:pPr>
              <w:pStyle w:val="Geenafstand"/>
            </w:pPr>
            <w:r w:rsidRPr="00801D7C">
              <w:t xml:space="preserve">Electraverbruik </w:t>
            </w:r>
            <w:r w:rsidR="00801D7C">
              <w:t>- grijs</w:t>
            </w:r>
          </w:p>
        </w:tc>
        <w:tc>
          <w:tcPr>
            <w:tcW w:w="1134" w:type="dxa"/>
          </w:tcPr>
          <w:p w:rsidR="00CF45D1" w:rsidRDefault="003A7799" w:rsidP="00CF7F62">
            <w:pPr>
              <w:pStyle w:val="Geenafstand"/>
            </w:pPr>
            <w:r>
              <w:t>4,5</w:t>
            </w:r>
          </w:p>
        </w:tc>
        <w:tc>
          <w:tcPr>
            <w:tcW w:w="1134" w:type="dxa"/>
          </w:tcPr>
          <w:p w:rsidR="00CF45D1" w:rsidRDefault="003A7799" w:rsidP="00CF7F62">
            <w:pPr>
              <w:pStyle w:val="Geenafstand"/>
            </w:pPr>
            <w:r>
              <w:t>4,8</w:t>
            </w:r>
          </w:p>
        </w:tc>
        <w:tc>
          <w:tcPr>
            <w:tcW w:w="1275" w:type="dxa"/>
          </w:tcPr>
          <w:p w:rsidR="00CF45D1" w:rsidRDefault="00926B4C" w:rsidP="00CF7F62">
            <w:pPr>
              <w:pStyle w:val="Geenafstand"/>
            </w:pPr>
            <w:r>
              <w:t>9,2</w:t>
            </w:r>
          </w:p>
        </w:tc>
        <w:tc>
          <w:tcPr>
            <w:tcW w:w="1129" w:type="dxa"/>
          </w:tcPr>
          <w:p w:rsidR="00CF45D1" w:rsidRDefault="001E5B47" w:rsidP="00CF7F62">
            <w:pPr>
              <w:pStyle w:val="Geenafstand"/>
            </w:pPr>
            <w:r>
              <w:t>4,7</w:t>
            </w:r>
          </w:p>
        </w:tc>
      </w:tr>
      <w:tr w:rsidR="00CF45D1" w:rsidTr="00CF7F62">
        <w:tc>
          <w:tcPr>
            <w:tcW w:w="4390" w:type="dxa"/>
          </w:tcPr>
          <w:p w:rsidR="00CF45D1" w:rsidRDefault="00CF45D1" w:rsidP="00CF7F62">
            <w:pPr>
              <w:pStyle w:val="Geenafstand"/>
            </w:pPr>
          </w:p>
        </w:tc>
        <w:tc>
          <w:tcPr>
            <w:tcW w:w="1134" w:type="dxa"/>
          </w:tcPr>
          <w:p w:rsidR="00CF45D1" w:rsidRDefault="00CF45D1" w:rsidP="00CF7F62">
            <w:pPr>
              <w:pStyle w:val="Geenafstand"/>
            </w:pPr>
          </w:p>
        </w:tc>
        <w:tc>
          <w:tcPr>
            <w:tcW w:w="1134" w:type="dxa"/>
          </w:tcPr>
          <w:p w:rsidR="00CF45D1" w:rsidRDefault="00CF45D1" w:rsidP="00CF7F62">
            <w:pPr>
              <w:pStyle w:val="Geenafstand"/>
            </w:pPr>
          </w:p>
        </w:tc>
        <w:tc>
          <w:tcPr>
            <w:tcW w:w="1275" w:type="dxa"/>
          </w:tcPr>
          <w:p w:rsidR="00CF45D1" w:rsidRDefault="00CF45D1" w:rsidP="00CF7F62">
            <w:pPr>
              <w:pStyle w:val="Geenafstand"/>
            </w:pPr>
          </w:p>
        </w:tc>
        <w:tc>
          <w:tcPr>
            <w:tcW w:w="1129" w:type="dxa"/>
          </w:tcPr>
          <w:p w:rsidR="00CF45D1" w:rsidRDefault="00CF45D1" w:rsidP="00CF7F62">
            <w:pPr>
              <w:pStyle w:val="Geenafstand"/>
            </w:pPr>
          </w:p>
        </w:tc>
      </w:tr>
      <w:tr w:rsidR="00CF45D1" w:rsidRPr="0054527E" w:rsidTr="00CF7F62">
        <w:tc>
          <w:tcPr>
            <w:tcW w:w="4390" w:type="dxa"/>
          </w:tcPr>
          <w:p w:rsidR="00CF45D1" w:rsidRPr="0054527E" w:rsidRDefault="00CF45D1" w:rsidP="00CF7F62">
            <w:pPr>
              <w:pStyle w:val="Geenafstand"/>
              <w:rPr>
                <w:b/>
              </w:rPr>
            </w:pPr>
            <w:r w:rsidRPr="0054527E">
              <w:rPr>
                <w:b/>
              </w:rPr>
              <w:t>Totaal scope  2</w:t>
            </w:r>
          </w:p>
        </w:tc>
        <w:tc>
          <w:tcPr>
            <w:tcW w:w="1134" w:type="dxa"/>
          </w:tcPr>
          <w:p w:rsidR="00CF45D1" w:rsidRPr="0054527E" w:rsidRDefault="003A7799" w:rsidP="00CF7F62">
            <w:pPr>
              <w:pStyle w:val="Geenafstand"/>
              <w:rPr>
                <w:b/>
              </w:rPr>
            </w:pPr>
            <w:r>
              <w:rPr>
                <w:b/>
              </w:rPr>
              <w:t>4,5</w:t>
            </w:r>
          </w:p>
        </w:tc>
        <w:tc>
          <w:tcPr>
            <w:tcW w:w="1134" w:type="dxa"/>
          </w:tcPr>
          <w:p w:rsidR="00CF45D1" w:rsidRPr="0054527E" w:rsidRDefault="003A7799" w:rsidP="00CF7F62">
            <w:pPr>
              <w:pStyle w:val="Geenafstand"/>
              <w:rPr>
                <w:b/>
              </w:rPr>
            </w:pPr>
            <w:r>
              <w:rPr>
                <w:b/>
              </w:rPr>
              <w:t>4,8</w:t>
            </w:r>
          </w:p>
        </w:tc>
        <w:tc>
          <w:tcPr>
            <w:tcW w:w="1275" w:type="dxa"/>
          </w:tcPr>
          <w:p w:rsidR="00CF45D1" w:rsidRPr="0054527E" w:rsidRDefault="00926B4C" w:rsidP="00CF7F62">
            <w:pPr>
              <w:pStyle w:val="Geenafstand"/>
              <w:rPr>
                <w:b/>
              </w:rPr>
            </w:pPr>
            <w:r>
              <w:rPr>
                <w:b/>
              </w:rPr>
              <w:t>9,2</w:t>
            </w:r>
          </w:p>
        </w:tc>
        <w:tc>
          <w:tcPr>
            <w:tcW w:w="1129" w:type="dxa"/>
          </w:tcPr>
          <w:p w:rsidR="00CF45D1" w:rsidRPr="0054527E" w:rsidRDefault="001E5B47" w:rsidP="00CF7F62">
            <w:pPr>
              <w:pStyle w:val="Geenafstand"/>
              <w:rPr>
                <w:b/>
              </w:rPr>
            </w:pPr>
            <w:r>
              <w:rPr>
                <w:b/>
              </w:rPr>
              <w:t>4,7</w:t>
            </w:r>
          </w:p>
        </w:tc>
      </w:tr>
      <w:tr w:rsidR="00CF45D1" w:rsidRPr="0054527E" w:rsidTr="00CF7F62">
        <w:tc>
          <w:tcPr>
            <w:tcW w:w="4390" w:type="dxa"/>
          </w:tcPr>
          <w:p w:rsidR="00CF45D1" w:rsidRPr="0054527E" w:rsidRDefault="00CF45D1" w:rsidP="00CF7F62">
            <w:pPr>
              <w:pStyle w:val="Geenafstand"/>
              <w:rPr>
                <w:b/>
              </w:rPr>
            </w:pPr>
          </w:p>
        </w:tc>
        <w:tc>
          <w:tcPr>
            <w:tcW w:w="1134" w:type="dxa"/>
          </w:tcPr>
          <w:p w:rsidR="00CF45D1" w:rsidRPr="0054527E" w:rsidRDefault="00CF45D1" w:rsidP="00CF7F62">
            <w:pPr>
              <w:pStyle w:val="Geenafstand"/>
              <w:rPr>
                <w:b/>
              </w:rPr>
            </w:pPr>
          </w:p>
        </w:tc>
        <w:tc>
          <w:tcPr>
            <w:tcW w:w="1134" w:type="dxa"/>
          </w:tcPr>
          <w:p w:rsidR="00CF45D1" w:rsidRPr="0054527E" w:rsidRDefault="00CF45D1" w:rsidP="00CF7F62">
            <w:pPr>
              <w:pStyle w:val="Geenafstand"/>
              <w:rPr>
                <w:b/>
              </w:rPr>
            </w:pPr>
          </w:p>
        </w:tc>
        <w:tc>
          <w:tcPr>
            <w:tcW w:w="1275" w:type="dxa"/>
          </w:tcPr>
          <w:p w:rsidR="00CF45D1" w:rsidRPr="0054527E" w:rsidRDefault="00CF45D1" w:rsidP="00CF7F62">
            <w:pPr>
              <w:pStyle w:val="Geenafstand"/>
              <w:rPr>
                <w:b/>
              </w:rPr>
            </w:pPr>
          </w:p>
        </w:tc>
        <w:tc>
          <w:tcPr>
            <w:tcW w:w="1129" w:type="dxa"/>
          </w:tcPr>
          <w:p w:rsidR="00CF45D1" w:rsidRPr="0054527E" w:rsidRDefault="00CF45D1" w:rsidP="00CF7F62">
            <w:pPr>
              <w:pStyle w:val="Geenafstand"/>
              <w:rPr>
                <w:b/>
              </w:rPr>
            </w:pPr>
          </w:p>
        </w:tc>
      </w:tr>
      <w:tr w:rsidR="00CF45D1" w:rsidRPr="0054527E" w:rsidTr="00CF7F62">
        <w:tc>
          <w:tcPr>
            <w:tcW w:w="4390" w:type="dxa"/>
            <w:shd w:val="clear" w:color="auto" w:fill="0B3B60"/>
          </w:tcPr>
          <w:p w:rsidR="00CF45D1" w:rsidRPr="0054527E" w:rsidRDefault="00CF45D1" w:rsidP="00CF7F62">
            <w:pPr>
              <w:pStyle w:val="Geenafstand"/>
              <w:rPr>
                <w:b/>
                <w:color w:val="FFFFFF" w:themeColor="background1"/>
              </w:rPr>
            </w:pPr>
            <w:r>
              <w:rPr>
                <w:b/>
                <w:color w:val="FFFFFF" w:themeColor="background1"/>
              </w:rPr>
              <w:t>Scope 3</w:t>
            </w:r>
          </w:p>
        </w:tc>
        <w:tc>
          <w:tcPr>
            <w:tcW w:w="1134" w:type="dxa"/>
            <w:shd w:val="clear" w:color="auto" w:fill="0B3B60"/>
          </w:tcPr>
          <w:p w:rsidR="00CF45D1" w:rsidRPr="0054527E" w:rsidRDefault="00CF45D1" w:rsidP="00CF7F62">
            <w:pPr>
              <w:pStyle w:val="Geenafstand"/>
              <w:rPr>
                <w:b/>
                <w:color w:val="FFFFFF" w:themeColor="background1"/>
              </w:rPr>
            </w:pPr>
          </w:p>
        </w:tc>
        <w:tc>
          <w:tcPr>
            <w:tcW w:w="1134" w:type="dxa"/>
            <w:shd w:val="clear" w:color="auto" w:fill="0B3B60"/>
          </w:tcPr>
          <w:p w:rsidR="00CF45D1" w:rsidRPr="0054527E" w:rsidRDefault="00CF45D1" w:rsidP="00CF7F62">
            <w:pPr>
              <w:pStyle w:val="Geenafstand"/>
              <w:rPr>
                <w:b/>
                <w:color w:val="FFFFFF" w:themeColor="background1"/>
              </w:rPr>
            </w:pPr>
          </w:p>
        </w:tc>
        <w:tc>
          <w:tcPr>
            <w:tcW w:w="1275" w:type="dxa"/>
            <w:shd w:val="clear" w:color="auto" w:fill="0B3B60"/>
          </w:tcPr>
          <w:p w:rsidR="00CF45D1" w:rsidRPr="0054527E" w:rsidRDefault="00CF45D1" w:rsidP="00CF7F62">
            <w:pPr>
              <w:pStyle w:val="Geenafstand"/>
              <w:rPr>
                <w:b/>
                <w:color w:val="FFFFFF" w:themeColor="background1"/>
              </w:rPr>
            </w:pPr>
          </w:p>
        </w:tc>
        <w:tc>
          <w:tcPr>
            <w:tcW w:w="1129" w:type="dxa"/>
            <w:shd w:val="clear" w:color="auto" w:fill="0B3B60"/>
          </w:tcPr>
          <w:p w:rsidR="00CF45D1" w:rsidRPr="0054527E" w:rsidRDefault="00CF45D1" w:rsidP="00CF7F62">
            <w:pPr>
              <w:pStyle w:val="Geenafstand"/>
              <w:rPr>
                <w:b/>
                <w:color w:val="FFFFFF" w:themeColor="background1"/>
              </w:rPr>
            </w:pPr>
          </w:p>
        </w:tc>
      </w:tr>
      <w:tr w:rsidR="00CF45D1" w:rsidTr="00CF7F62">
        <w:tc>
          <w:tcPr>
            <w:tcW w:w="4390" w:type="dxa"/>
          </w:tcPr>
          <w:p w:rsidR="00CF45D1" w:rsidRDefault="00CF45D1" w:rsidP="00CF7F62">
            <w:pPr>
              <w:pStyle w:val="Geenafstand"/>
            </w:pPr>
            <w:r>
              <w:t xml:space="preserve">Business </w:t>
            </w:r>
            <w:proofErr w:type="spellStart"/>
            <w:r>
              <w:t>travel</w:t>
            </w:r>
            <w:proofErr w:type="spellEnd"/>
            <w:r>
              <w:t xml:space="preserve"> </w:t>
            </w:r>
          </w:p>
        </w:tc>
        <w:tc>
          <w:tcPr>
            <w:tcW w:w="1134" w:type="dxa"/>
          </w:tcPr>
          <w:p w:rsidR="00CF45D1" w:rsidRDefault="003A7799" w:rsidP="00CF7F62">
            <w:pPr>
              <w:pStyle w:val="Geenafstand"/>
            </w:pPr>
            <w:r>
              <w:t>0</w:t>
            </w:r>
          </w:p>
        </w:tc>
        <w:tc>
          <w:tcPr>
            <w:tcW w:w="1134" w:type="dxa"/>
          </w:tcPr>
          <w:p w:rsidR="00CF45D1" w:rsidRDefault="003A7799" w:rsidP="00CF7F62">
            <w:pPr>
              <w:pStyle w:val="Geenafstand"/>
            </w:pPr>
            <w:r>
              <w:t>0</w:t>
            </w:r>
          </w:p>
        </w:tc>
        <w:tc>
          <w:tcPr>
            <w:tcW w:w="1275" w:type="dxa"/>
          </w:tcPr>
          <w:p w:rsidR="00CF45D1" w:rsidRDefault="000F7866" w:rsidP="00CF7F62">
            <w:pPr>
              <w:pStyle w:val="Geenafstand"/>
            </w:pPr>
            <w:r>
              <w:t>0</w:t>
            </w:r>
          </w:p>
        </w:tc>
        <w:tc>
          <w:tcPr>
            <w:tcW w:w="1129" w:type="dxa"/>
          </w:tcPr>
          <w:p w:rsidR="00CF45D1" w:rsidRDefault="001E5B47" w:rsidP="00CF7F62">
            <w:pPr>
              <w:pStyle w:val="Geenafstand"/>
            </w:pPr>
            <w:r>
              <w:t>0</w:t>
            </w:r>
          </w:p>
        </w:tc>
      </w:tr>
      <w:tr w:rsidR="00CF45D1" w:rsidTr="00CF7F62">
        <w:tc>
          <w:tcPr>
            <w:tcW w:w="4390" w:type="dxa"/>
          </w:tcPr>
          <w:p w:rsidR="00CF45D1" w:rsidRPr="0054527E" w:rsidRDefault="00CF45D1" w:rsidP="00CF7F62">
            <w:pPr>
              <w:pStyle w:val="Geenafstand"/>
              <w:rPr>
                <w:b/>
              </w:rPr>
            </w:pPr>
          </w:p>
        </w:tc>
        <w:tc>
          <w:tcPr>
            <w:tcW w:w="1134" w:type="dxa"/>
          </w:tcPr>
          <w:p w:rsidR="00CF45D1" w:rsidRDefault="00CF45D1" w:rsidP="00CF7F62">
            <w:pPr>
              <w:pStyle w:val="Geenafstand"/>
            </w:pPr>
          </w:p>
        </w:tc>
        <w:tc>
          <w:tcPr>
            <w:tcW w:w="1134" w:type="dxa"/>
          </w:tcPr>
          <w:p w:rsidR="00CF45D1" w:rsidRDefault="00CF45D1" w:rsidP="00CF7F62">
            <w:pPr>
              <w:pStyle w:val="Geenafstand"/>
            </w:pPr>
          </w:p>
        </w:tc>
        <w:tc>
          <w:tcPr>
            <w:tcW w:w="1275" w:type="dxa"/>
          </w:tcPr>
          <w:p w:rsidR="00CF45D1" w:rsidRDefault="00CF45D1" w:rsidP="00CF7F62">
            <w:pPr>
              <w:pStyle w:val="Geenafstand"/>
            </w:pPr>
          </w:p>
        </w:tc>
        <w:tc>
          <w:tcPr>
            <w:tcW w:w="1129" w:type="dxa"/>
          </w:tcPr>
          <w:p w:rsidR="00CF45D1" w:rsidRDefault="00CF45D1" w:rsidP="00CF7F62">
            <w:pPr>
              <w:pStyle w:val="Geenafstand"/>
            </w:pPr>
          </w:p>
        </w:tc>
      </w:tr>
      <w:tr w:rsidR="00CF45D1" w:rsidRPr="0054527E" w:rsidTr="00CF7F62">
        <w:tc>
          <w:tcPr>
            <w:tcW w:w="4390" w:type="dxa"/>
          </w:tcPr>
          <w:p w:rsidR="00CF45D1" w:rsidRPr="0054527E" w:rsidRDefault="00CF45D1" w:rsidP="00CF7F62">
            <w:pPr>
              <w:pStyle w:val="Geenafstand"/>
              <w:rPr>
                <w:b/>
              </w:rPr>
            </w:pPr>
            <w:r>
              <w:rPr>
                <w:b/>
              </w:rPr>
              <w:t xml:space="preserve">Totaal scope 1, </w:t>
            </w:r>
            <w:r w:rsidRPr="0054527E">
              <w:rPr>
                <w:b/>
              </w:rPr>
              <w:t>2</w:t>
            </w:r>
            <w:r>
              <w:rPr>
                <w:b/>
              </w:rPr>
              <w:t xml:space="preserve"> &amp; 3</w:t>
            </w:r>
          </w:p>
        </w:tc>
        <w:tc>
          <w:tcPr>
            <w:tcW w:w="1134" w:type="dxa"/>
          </w:tcPr>
          <w:p w:rsidR="00CF45D1" w:rsidRPr="0054527E" w:rsidRDefault="003A7799" w:rsidP="00CF7F62">
            <w:pPr>
              <w:pStyle w:val="Geenafstand"/>
              <w:rPr>
                <w:b/>
              </w:rPr>
            </w:pPr>
            <w:r>
              <w:rPr>
                <w:b/>
              </w:rPr>
              <w:t>1.203,6</w:t>
            </w:r>
          </w:p>
        </w:tc>
        <w:tc>
          <w:tcPr>
            <w:tcW w:w="1134" w:type="dxa"/>
          </w:tcPr>
          <w:p w:rsidR="00CF45D1" w:rsidRPr="0054527E" w:rsidRDefault="001C733D" w:rsidP="00CF7F62">
            <w:pPr>
              <w:pStyle w:val="Geenafstand"/>
              <w:rPr>
                <w:b/>
              </w:rPr>
            </w:pPr>
            <w:r>
              <w:rPr>
                <w:b/>
              </w:rPr>
              <w:t>1.217,2</w:t>
            </w:r>
          </w:p>
        </w:tc>
        <w:tc>
          <w:tcPr>
            <w:tcW w:w="1275" w:type="dxa"/>
          </w:tcPr>
          <w:p w:rsidR="00CF45D1" w:rsidRPr="0054527E" w:rsidRDefault="000F7866" w:rsidP="00CF7F62">
            <w:pPr>
              <w:pStyle w:val="Geenafstand"/>
              <w:rPr>
                <w:b/>
              </w:rPr>
            </w:pPr>
            <w:r>
              <w:rPr>
                <w:b/>
              </w:rPr>
              <w:t>1.410,8</w:t>
            </w:r>
          </w:p>
        </w:tc>
        <w:tc>
          <w:tcPr>
            <w:tcW w:w="1129" w:type="dxa"/>
          </w:tcPr>
          <w:p w:rsidR="00CF45D1" w:rsidRPr="0054527E" w:rsidRDefault="001E5B47" w:rsidP="00CF7F62">
            <w:pPr>
              <w:pStyle w:val="Geenafstand"/>
              <w:rPr>
                <w:b/>
              </w:rPr>
            </w:pPr>
            <w:r>
              <w:rPr>
                <w:b/>
              </w:rPr>
              <w:t>1.339,9</w:t>
            </w:r>
          </w:p>
        </w:tc>
      </w:tr>
      <w:tr w:rsidR="00CF45D1" w:rsidTr="00CF7F62">
        <w:tc>
          <w:tcPr>
            <w:tcW w:w="4390" w:type="dxa"/>
          </w:tcPr>
          <w:p w:rsidR="00CF45D1" w:rsidRDefault="00CF45D1" w:rsidP="00CF7F62">
            <w:pPr>
              <w:pStyle w:val="Geenafstand"/>
            </w:pPr>
          </w:p>
        </w:tc>
        <w:tc>
          <w:tcPr>
            <w:tcW w:w="1134" w:type="dxa"/>
          </w:tcPr>
          <w:p w:rsidR="00CF45D1" w:rsidRDefault="00CF45D1" w:rsidP="00CF7F62">
            <w:pPr>
              <w:pStyle w:val="Geenafstand"/>
            </w:pPr>
          </w:p>
        </w:tc>
        <w:tc>
          <w:tcPr>
            <w:tcW w:w="1134" w:type="dxa"/>
          </w:tcPr>
          <w:p w:rsidR="00CF45D1" w:rsidRDefault="00CF45D1" w:rsidP="00CF7F62">
            <w:pPr>
              <w:pStyle w:val="Geenafstand"/>
            </w:pPr>
          </w:p>
        </w:tc>
        <w:tc>
          <w:tcPr>
            <w:tcW w:w="1275" w:type="dxa"/>
          </w:tcPr>
          <w:p w:rsidR="00CF45D1" w:rsidRDefault="00CF45D1" w:rsidP="00CF7F62">
            <w:pPr>
              <w:pStyle w:val="Geenafstand"/>
            </w:pPr>
          </w:p>
        </w:tc>
        <w:tc>
          <w:tcPr>
            <w:tcW w:w="1129" w:type="dxa"/>
          </w:tcPr>
          <w:p w:rsidR="00CF45D1" w:rsidRDefault="00CF45D1" w:rsidP="00CF7F62">
            <w:pPr>
              <w:pStyle w:val="Geenafstand"/>
            </w:pPr>
          </w:p>
        </w:tc>
      </w:tr>
      <w:tr w:rsidR="00CF45D1" w:rsidRPr="0054527E" w:rsidTr="00CF7F62">
        <w:tc>
          <w:tcPr>
            <w:tcW w:w="4390" w:type="dxa"/>
            <w:shd w:val="clear" w:color="auto" w:fill="0B3B60"/>
          </w:tcPr>
          <w:p w:rsidR="00CF45D1" w:rsidRPr="0054527E" w:rsidRDefault="00DD3304" w:rsidP="00CF7F62">
            <w:pPr>
              <w:pStyle w:val="Geenafstand"/>
              <w:rPr>
                <w:b/>
                <w:color w:val="FFFFFF" w:themeColor="background1"/>
              </w:rPr>
            </w:pPr>
            <w:r>
              <w:rPr>
                <w:b/>
                <w:color w:val="FFFFFF" w:themeColor="background1"/>
              </w:rPr>
              <w:t>Brutomarge / 100.000</w:t>
            </w:r>
          </w:p>
        </w:tc>
        <w:tc>
          <w:tcPr>
            <w:tcW w:w="1134" w:type="dxa"/>
            <w:shd w:val="clear" w:color="auto" w:fill="0B3B60"/>
          </w:tcPr>
          <w:p w:rsidR="00CF45D1" w:rsidRPr="0054527E" w:rsidRDefault="00DD3304" w:rsidP="00CF7F62">
            <w:pPr>
              <w:rPr>
                <w:color w:val="FFFFFF" w:themeColor="background1"/>
              </w:rPr>
            </w:pPr>
            <w:r>
              <w:rPr>
                <w:color w:val="FFFFFF" w:themeColor="background1"/>
              </w:rPr>
              <w:t>25,77</w:t>
            </w:r>
          </w:p>
        </w:tc>
        <w:tc>
          <w:tcPr>
            <w:tcW w:w="1134" w:type="dxa"/>
            <w:shd w:val="clear" w:color="auto" w:fill="0B3B60"/>
          </w:tcPr>
          <w:p w:rsidR="00CF45D1" w:rsidRPr="0054527E" w:rsidRDefault="00DD3304" w:rsidP="00CF7F62">
            <w:pPr>
              <w:pStyle w:val="Geenafstand"/>
              <w:rPr>
                <w:color w:val="FFFFFF" w:themeColor="background1"/>
              </w:rPr>
            </w:pPr>
            <w:r>
              <w:rPr>
                <w:color w:val="FFFFFF" w:themeColor="background1"/>
              </w:rPr>
              <w:t>30,00</w:t>
            </w:r>
          </w:p>
        </w:tc>
        <w:tc>
          <w:tcPr>
            <w:tcW w:w="1275" w:type="dxa"/>
            <w:shd w:val="clear" w:color="auto" w:fill="0B3B60"/>
          </w:tcPr>
          <w:p w:rsidR="00CF45D1" w:rsidRPr="0054527E" w:rsidRDefault="000F7866" w:rsidP="00CF7F62">
            <w:pPr>
              <w:pStyle w:val="Geenafstand"/>
              <w:rPr>
                <w:color w:val="FFFFFF" w:themeColor="background1"/>
              </w:rPr>
            </w:pPr>
            <w:r>
              <w:rPr>
                <w:color w:val="FFFFFF" w:themeColor="background1"/>
              </w:rPr>
              <w:t>33,00</w:t>
            </w:r>
          </w:p>
        </w:tc>
        <w:tc>
          <w:tcPr>
            <w:tcW w:w="1129" w:type="dxa"/>
            <w:shd w:val="clear" w:color="auto" w:fill="0B3B60"/>
          </w:tcPr>
          <w:p w:rsidR="00CF45D1" w:rsidRPr="0054527E" w:rsidRDefault="001E5B47" w:rsidP="00CF7F62">
            <w:pPr>
              <w:pStyle w:val="Geenafstand"/>
              <w:rPr>
                <w:color w:val="FFFFFF" w:themeColor="background1"/>
              </w:rPr>
            </w:pPr>
            <w:r>
              <w:rPr>
                <w:color w:val="FFFFFF" w:themeColor="background1"/>
              </w:rPr>
              <w:t>41,40</w:t>
            </w:r>
          </w:p>
        </w:tc>
      </w:tr>
      <w:tr w:rsidR="00CF45D1" w:rsidRPr="0054527E" w:rsidTr="00CF7F62">
        <w:tc>
          <w:tcPr>
            <w:tcW w:w="4390" w:type="dxa"/>
            <w:shd w:val="clear" w:color="auto" w:fill="0B3B60"/>
          </w:tcPr>
          <w:p w:rsidR="00CF45D1" w:rsidRPr="0054527E" w:rsidRDefault="00DD3304" w:rsidP="00CF7F62">
            <w:pPr>
              <w:rPr>
                <w:b/>
                <w:color w:val="FFFFFF" w:themeColor="background1"/>
              </w:rPr>
            </w:pPr>
            <w:r>
              <w:rPr>
                <w:b/>
                <w:color w:val="FFFFFF" w:themeColor="background1"/>
              </w:rPr>
              <w:t>CO2 per 100.000 euro BM</w:t>
            </w:r>
          </w:p>
        </w:tc>
        <w:tc>
          <w:tcPr>
            <w:tcW w:w="1134" w:type="dxa"/>
            <w:shd w:val="clear" w:color="auto" w:fill="0B3B60"/>
          </w:tcPr>
          <w:p w:rsidR="00CF45D1" w:rsidRPr="0054527E" w:rsidRDefault="00DD3304" w:rsidP="00CF7F62">
            <w:pPr>
              <w:rPr>
                <w:color w:val="FFFFFF" w:themeColor="background1"/>
              </w:rPr>
            </w:pPr>
            <w:r>
              <w:rPr>
                <w:color w:val="FFFFFF" w:themeColor="background1"/>
              </w:rPr>
              <w:t>46,71</w:t>
            </w:r>
          </w:p>
        </w:tc>
        <w:tc>
          <w:tcPr>
            <w:tcW w:w="1134" w:type="dxa"/>
            <w:shd w:val="clear" w:color="auto" w:fill="0B3B60"/>
          </w:tcPr>
          <w:p w:rsidR="00CF45D1" w:rsidRPr="0054527E" w:rsidRDefault="00DD3304" w:rsidP="00CF7F62">
            <w:pPr>
              <w:pStyle w:val="Geenafstand"/>
              <w:rPr>
                <w:color w:val="FFFFFF" w:themeColor="background1"/>
              </w:rPr>
            </w:pPr>
            <w:r>
              <w:rPr>
                <w:color w:val="FFFFFF" w:themeColor="background1"/>
              </w:rPr>
              <w:t>40,57</w:t>
            </w:r>
          </w:p>
        </w:tc>
        <w:tc>
          <w:tcPr>
            <w:tcW w:w="1275" w:type="dxa"/>
            <w:shd w:val="clear" w:color="auto" w:fill="0B3B60"/>
          </w:tcPr>
          <w:p w:rsidR="00CF45D1" w:rsidRPr="0054527E" w:rsidRDefault="00B044DA" w:rsidP="00CF7F62">
            <w:pPr>
              <w:pStyle w:val="Geenafstand"/>
              <w:rPr>
                <w:color w:val="FFFFFF" w:themeColor="background1"/>
              </w:rPr>
            </w:pPr>
            <w:r>
              <w:rPr>
                <w:color w:val="FFFFFF" w:themeColor="background1"/>
              </w:rPr>
              <w:t>42,91</w:t>
            </w:r>
          </w:p>
        </w:tc>
        <w:tc>
          <w:tcPr>
            <w:tcW w:w="1129" w:type="dxa"/>
            <w:shd w:val="clear" w:color="auto" w:fill="0B3B60"/>
          </w:tcPr>
          <w:p w:rsidR="00CF45D1" w:rsidRPr="0054527E" w:rsidRDefault="001E5B47" w:rsidP="00CF7F62">
            <w:pPr>
              <w:pStyle w:val="Geenafstand"/>
              <w:rPr>
                <w:color w:val="FFFFFF" w:themeColor="background1"/>
              </w:rPr>
            </w:pPr>
            <w:r>
              <w:rPr>
                <w:color w:val="FFFFFF" w:themeColor="background1"/>
              </w:rPr>
              <w:t>32,36</w:t>
            </w:r>
          </w:p>
        </w:tc>
      </w:tr>
    </w:tbl>
    <w:p w:rsidR="00AA6E37" w:rsidRPr="00AA6E37" w:rsidRDefault="00AA6E37" w:rsidP="005D3A0C">
      <w:pPr>
        <w:pStyle w:val="Kop1"/>
        <w:numPr>
          <w:ilvl w:val="0"/>
          <w:numId w:val="1"/>
        </w:numPr>
      </w:pPr>
      <w:bookmarkStart w:id="6" w:name="_Toc71641570"/>
      <w:r w:rsidRPr="00AA6E37">
        <w:lastRenderedPageBreak/>
        <w:t>Kwantificeringsmethoden</w:t>
      </w:r>
      <w:bookmarkEnd w:id="6"/>
    </w:p>
    <w:p w:rsidR="00AA6E37" w:rsidRDefault="00AA6E37" w:rsidP="00AA6E37">
      <w:pPr>
        <w:pStyle w:val="Geenafstand"/>
      </w:pPr>
      <w:r>
        <w:t xml:space="preserve">Voor het kwantificeren van de CO2 uitstoot </w:t>
      </w:r>
      <w:r w:rsidR="00D37102">
        <w:t>is gebruik gemaakt van een voor van Boxmeer</w:t>
      </w:r>
      <w:r>
        <w:t xml:space="preserve"> op maat gemaakt model. In het model kunnen alle verbruiken worden ingevuld. Vervolgens wordt de daarbij behorende CO2 uitstoot automatisch berekend en vergeleken met het basisjaar. </w:t>
      </w:r>
      <w:r w:rsidR="000B31EB">
        <w:t xml:space="preserve">Hierbij zijn de emissiefactoren zoals weergegeven op </w:t>
      </w:r>
      <w:hyperlink r:id="rId10" w:history="1">
        <w:r w:rsidR="000B31EB">
          <w:rPr>
            <w:rStyle w:val="Hyperlink"/>
          </w:rPr>
          <w:t>www.co2emissiefactoren.nl</w:t>
        </w:r>
      </w:hyperlink>
      <w:r w:rsidR="000B31EB">
        <w:t xml:space="preserve"> gehanteerd.</w:t>
      </w:r>
    </w:p>
    <w:p w:rsidR="00AA6E37" w:rsidRPr="00846DCD" w:rsidRDefault="00AA6E37" w:rsidP="005D3A0C">
      <w:pPr>
        <w:pStyle w:val="Kop1"/>
        <w:numPr>
          <w:ilvl w:val="0"/>
          <w:numId w:val="1"/>
        </w:numPr>
      </w:pPr>
      <w:bookmarkStart w:id="7" w:name="_Toc71641571"/>
      <w:r w:rsidRPr="00846DCD">
        <w:t>Emissiefactoren</w:t>
      </w:r>
      <w:bookmarkEnd w:id="7"/>
    </w:p>
    <w:p w:rsidR="00846DCD" w:rsidRDefault="00AA6E37" w:rsidP="00AA6E37">
      <w:pPr>
        <w:pStyle w:val="Geenafstand"/>
      </w:pPr>
      <w:r>
        <w:t>Voor de inventa</w:t>
      </w:r>
      <w:r w:rsidR="00D37102">
        <w:t>risatie van de CO2 uitstoot va</w:t>
      </w:r>
      <w:r w:rsidR="00EE4DCD">
        <w:t xml:space="preserve">n </w:t>
      </w:r>
      <w:proofErr w:type="spellStart"/>
      <w:r w:rsidR="00EE4DCD">
        <w:t>van</w:t>
      </w:r>
      <w:proofErr w:type="spellEnd"/>
      <w:r w:rsidR="00EE4DCD">
        <w:t xml:space="preserve"> Boxmeer over het jaar 2022</w:t>
      </w:r>
      <w:r w:rsidR="00D37102">
        <w:t xml:space="preserve"> </w:t>
      </w:r>
      <w:r>
        <w:t xml:space="preserve">zijn de emissiefactoren zoals weergegeven op </w:t>
      </w:r>
      <w:hyperlink r:id="rId11" w:history="1">
        <w:r w:rsidR="00846DCD" w:rsidRPr="00E020E5">
          <w:rPr>
            <w:rStyle w:val="Hyperlink"/>
          </w:rPr>
          <w:t>www.co2emissiefactoren.nl</w:t>
        </w:r>
      </w:hyperlink>
      <w:r w:rsidR="00846DCD">
        <w:t xml:space="preserve"> </w:t>
      </w:r>
      <w:r>
        <w:t>gehanteerd. Omdat het gaat om specifieke emissiefactoren op nationaal niveau, zijn de gehanteerde emissiefactoren zeer geschikt voor het omrekenen van de broeikasgas activiteiten data naar de daarmee gepaard gaande CO2 emissie. Alle gebruikte emissiefactoren zijn opgenomen in de berekening van de CO2 footprint.</w:t>
      </w:r>
      <w:r w:rsidR="00D37102">
        <w:t xml:space="preserve"> De emissiefactoren van </w:t>
      </w:r>
      <w:proofErr w:type="spellStart"/>
      <w:r w:rsidR="00D37102">
        <w:t>van</w:t>
      </w:r>
      <w:proofErr w:type="spellEnd"/>
      <w:r w:rsidR="00D37102">
        <w:t xml:space="preserve"> Boxmeer</w:t>
      </w:r>
      <w:r>
        <w:t xml:space="preserve"> zullen te allen tijde mee gaan met wijzigingen in de emissiefactoren zoals weergegeven op </w:t>
      </w:r>
      <w:hyperlink r:id="rId12" w:history="1">
        <w:r w:rsidR="00846DCD" w:rsidRPr="00E020E5">
          <w:rPr>
            <w:rStyle w:val="Hyperlink"/>
          </w:rPr>
          <w:t>www.co2emissiefactoren.nl</w:t>
        </w:r>
      </w:hyperlink>
      <w:r w:rsidR="00846DCD">
        <w:t xml:space="preserve">. </w:t>
      </w:r>
      <w:r>
        <w:t>Er zijn geen “</w:t>
      </w:r>
      <w:proofErr w:type="spellStart"/>
      <w:r>
        <w:t>Removal</w:t>
      </w:r>
      <w:proofErr w:type="spellEnd"/>
      <w:r>
        <w:t xml:space="preserve"> factors” van toepassing.</w:t>
      </w:r>
    </w:p>
    <w:p w:rsidR="00AA6E37" w:rsidRPr="00846DCD" w:rsidRDefault="00AA6E37" w:rsidP="005D3A0C">
      <w:pPr>
        <w:pStyle w:val="Kop1"/>
        <w:numPr>
          <w:ilvl w:val="0"/>
          <w:numId w:val="1"/>
        </w:numPr>
      </w:pPr>
      <w:bookmarkStart w:id="8" w:name="_Toc71641572"/>
      <w:r w:rsidRPr="00846DCD">
        <w:t>Onzekerheden</w:t>
      </w:r>
      <w:bookmarkEnd w:id="8"/>
    </w:p>
    <w:p w:rsidR="00AA6E37" w:rsidRDefault="00AA6E37" w:rsidP="00AA6E37">
      <w:pPr>
        <w:pStyle w:val="Geenafstand"/>
      </w:pPr>
      <w:r>
        <w:t>De gepresenteerde resultaten moeten worden gezien als de beste inschatting van de werkelijke waardes. Bijna alle gebruikte gegevens voor de berekening van de CO2 footprint zijn gebaseerd op facturen en/of werkelijk gemeten aantallen. Hierdoor is de onzekerheidsmarge zeer gering. Er zijn geen onzekerheden.</w:t>
      </w:r>
    </w:p>
    <w:p w:rsidR="00846DCD" w:rsidRPr="00846DCD" w:rsidRDefault="00846DCD" w:rsidP="005D3A0C">
      <w:pPr>
        <w:pStyle w:val="Kop1"/>
        <w:numPr>
          <w:ilvl w:val="0"/>
          <w:numId w:val="1"/>
        </w:numPr>
      </w:pPr>
      <w:bookmarkStart w:id="9" w:name="_Toc71641573"/>
      <w:r w:rsidRPr="00846DCD">
        <w:t xml:space="preserve">Rapportage volgens ISO 14064 deel </w:t>
      </w:r>
      <w:r w:rsidR="00AE6EBE">
        <w:t>9</w:t>
      </w:r>
      <w:bookmarkEnd w:id="9"/>
    </w:p>
    <w:p w:rsidR="00846DCD" w:rsidRDefault="00846DCD" w:rsidP="00846DCD">
      <w:pPr>
        <w:pStyle w:val="Geenafstand"/>
      </w:pPr>
      <w:r>
        <w:t>Dit rapport is opgesteld volgens de e</w:t>
      </w:r>
      <w:r w:rsidR="00AE6EBE">
        <w:t>isen uit ISO 14064-1 paragraaf 9</w:t>
      </w:r>
      <w:r w:rsidR="00334D6D">
        <w:t xml:space="preserve">.3.1 </w:t>
      </w:r>
      <w:r>
        <w:t xml:space="preserve">In onderstaande tabel is een cross </w:t>
      </w:r>
      <w:proofErr w:type="spellStart"/>
      <w:r>
        <w:t>reference</w:t>
      </w:r>
      <w:proofErr w:type="spellEnd"/>
      <w:r>
        <w:t xml:space="preserve"> gemaakt van de onderdelen uit ISO 14064 en de hoofdstukken in het rapport.</w:t>
      </w:r>
    </w:p>
    <w:p w:rsidR="00846DCD" w:rsidRDefault="00846DCD" w:rsidP="00846DCD">
      <w:pPr>
        <w:pStyle w:val="Geenafstand"/>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306"/>
        <w:gridCol w:w="1842"/>
      </w:tblGrid>
      <w:tr w:rsidR="00334D6D" w:rsidRPr="00846DCD" w:rsidTr="00334D6D">
        <w:tc>
          <w:tcPr>
            <w:tcW w:w="7225" w:type="dxa"/>
            <w:gridSpan w:val="2"/>
            <w:shd w:val="clear" w:color="auto" w:fill="0B3B60"/>
          </w:tcPr>
          <w:p w:rsidR="00334D6D" w:rsidRPr="00846DCD" w:rsidRDefault="00334D6D" w:rsidP="00846DCD">
            <w:pPr>
              <w:pStyle w:val="Geenafstand"/>
              <w:rPr>
                <w:b/>
                <w:color w:val="FFFFFF" w:themeColor="background1"/>
              </w:rPr>
            </w:pPr>
            <w:r>
              <w:rPr>
                <w:b/>
                <w:color w:val="FFFFFF" w:themeColor="background1"/>
              </w:rPr>
              <w:t>Eisen § 9</w:t>
            </w:r>
            <w:r w:rsidRPr="00846DCD">
              <w:rPr>
                <w:b/>
                <w:color w:val="FFFFFF" w:themeColor="background1"/>
              </w:rPr>
              <w:t>.3 GHG report content</w:t>
            </w:r>
          </w:p>
        </w:tc>
        <w:tc>
          <w:tcPr>
            <w:tcW w:w="1842" w:type="dxa"/>
            <w:shd w:val="clear" w:color="auto" w:fill="0B3B60"/>
          </w:tcPr>
          <w:p w:rsidR="00334D6D" w:rsidRPr="00846DCD" w:rsidRDefault="00334D6D" w:rsidP="00846DCD">
            <w:pPr>
              <w:pStyle w:val="Geenafstand"/>
              <w:rPr>
                <w:b/>
                <w:color w:val="FFFFFF" w:themeColor="background1"/>
              </w:rPr>
            </w:pPr>
            <w:r>
              <w:rPr>
                <w:b/>
                <w:color w:val="FFFFFF" w:themeColor="background1"/>
              </w:rPr>
              <w:t xml:space="preserve">Deze rapportage </w:t>
            </w:r>
          </w:p>
        </w:tc>
      </w:tr>
      <w:tr w:rsidR="00334D6D" w:rsidRPr="00B55DDC" w:rsidTr="00334D6D">
        <w:tc>
          <w:tcPr>
            <w:tcW w:w="919" w:type="dxa"/>
          </w:tcPr>
          <w:p w:rsidR="00334D6D" w:rsidRPr="00B55DDC" w:rsidRDefault="00334D6D" w:rsidP="00846DCD">
            <w:pPr>
              <w:pStyle w:val="Geenafstand"/>
            </w:pPr>
            <w:r>
              <w:t>a</w:t>
            </w:r>
          </w:p>
        </w:tc>
        <w:tc>
          <w:tcPr>
            <w:tcW w:w="6306" w:type="dxa"/>
          </w:tcPr>
          <w:p w:rsidR="00334D6D" w:rsidRPr="00EA7268" w:rsidRDefault="00334D6D" w:rsidP="00846DCD">
            <w:pPr>
              <w:pStyle w:val="Geenafstand"/>
              <w:rPr>
                <w:lang w:val="en-US"/>
              </w:rPr>
            </w:pPr>
            <w:r w:rsidRPr="00EA7268">
              <w:rPr>
                <w:lang w:val="en-US"/>
              </w:rPr>
              <w:t>Description of the reporting organization</w:t>
            </w:r>
          </w:p>
        </w:tc>
        <w:tc>
          <w:tcPr>
            <w:tcW w:w="1842" w:type="dxa"/>
          </w:tcPr>
          <w:p w:rsidR="00334D6D" w:rsidRPr="00B55DDC" w:rsidRDefault="00334D6D" w:rsidP="00846DCD">
            <w:pPr>
              <w:pStyle w:val="Geenafstand"/>
            </w:pPr>
            <w:r w:rsidRPr="00B55DDC">
              <w:t>2</w:t>
            </w:r>
          </w:p>
        </w:tc>
      </w:tr>
      <w:tr w:rsidR="00334D6D" w:rsidRPr="00B55DDC" w:rsidTr="00334D6D">
        <w:tc>
          <w:tcPr>
            <w:tcW w:w="919" w:type="dxa"/>
          </w:tcPr>
          <w:p w:rsidR="00334D6D" w:rsidRPr="00B55DDC" w:rsidRDefault="005D3A0C" w:rsidP="00846DCD">
            <w:pPr>
              <w:pStyle w:val="Geenafstand"/>
            </w:pPr>
            <w:r>
              <w:t>b</w:t>
            </w:r>
          </w:p>
        </w:tc>
        <w:tc>
          <w:tcPr>
            <w:tcW w:w="6306" w:type="dxa"/>
          </w:tcPr>
          <w:p w:rsidR="00334D6D" w:rsidRPr="00EA7268" w:rsidRDefault="00334D6D" w:rsidP="00846DCD">
            <w:pPr>
              <w:pStyle w:val="Geenafstand"/>
              <w:rPr>
                <w:lang w:val="en-US"/>
              </w:rPr>
            </w:pPr>
            <w:r w:rsidRPr="00EA7268">
              <w:rPr>
                <w:lang w:val="en-US"/>
              </w:rPr>
              <w:t>Person or entity responsible for the report</w:t>
            </w:r>
          </w:p>
        </w:tc>
        <w:tc>
          <w:tcPr>
            <w:tcW w:w="1842" w:type="dxa"/>
          </w:tcPr>
          <w:p w:rsidR="00334D6D" w:rsidRPr="00B55DDC" w:rsidRDefault="00334D6D" w:rsidP="00846DCD">
            <w:pPr>
              <w:pStyle w:val="Geenafstand"/>
            </w:pPr>
            <w:r w:rsidRPr="00B55DDC">
              <w:t>3</w:t>
            </w:r>
          </w:p>
        </w:tc>
      </w:tr>
      <w:tr w:rsidR="00334D6D" w:rsidRPr="00B55DDC" w:rsidTr="00334D6D">
        <w:tc>
          <w:tcPr>
            <w:tcW w:w="919" w:type="dxa"/>
          </w:tcPr>
          <w:p w:rsidR="00334D6D" w:rsidRPr="00B55DDC" w:rsidRDefault="005D3A0C" w:rsidP="00846DCD">
            <w:pPr>
              <w:pStyle w:val="Geenafstand"/>
            </w:pPr>
            <w:r w:rsidRPr="00B55DDC">
              <w:t>c</w:t>
            </w:r>
          </w:p>
        </w:tc>
        <w:tc>
          <w:tcPr>
            <w:tcW w:w="6306" w:type="dxa"/>
          </w:tcPr>
          <w:p w:rsidR="00334D6D" w:rsidRPr="00B55DDC" w:rsidRDefault="00334D6D" w:rsidP="00846DCD">
            <w:pPr>
              <w:pStyle w:val="Geenafstand"/>
            </w:pPr>
            <w:r>
              <w:t xml:space="preserve">Reporting </w:t>
            </w:r>
            <w:proofErr w:type="spellStart"/>
            <w:r>
              <w:t>period</w:t>
            </w:r>
            <w:proofErr w:type="spellEnd"/>
            <w:r>
              <w:t xml:space="preserve"> </w:t>
            </w:r>
            <w:proofErr w:type="spellStart"/>
            <w:r>
              <w:t>covered</w:t>
            </w:r>
            <w:proofErr w:type="spellEnd"/>
          </w:p>
        </w:tc>
        <w:tc>
          <w:tcPr>
            <w:tcW w:w="1842" w:type="dxa"/>
          </w:tcPr>
          <w:p w:rsidR="00334D6D" w:rsidRPr="00B55DDC" w:rsidRDefault="00334D6D" w:rsidP="00846DCD">
            <w:pPr>
              <w:pStyle w:val="Geenafstand"/>
            </w:pPr>
            <w:r w:rsidRPr="00B55DDC">
              <w:t>4</w:t>
            </w:r>
          </w:p>
        </w:tc>
      </w:tr>
      <w:tr w:rsidR="00334D6D" w:rsidRPr="00B55DDC" w:rsidTr="00334D6D">
        <w:tc>
          <w:tcPr>
            <w:tcW w:w="919" w:type="dxa"/>
          </w:tcPr>
          <w:p w:rsidR="00334D6D" w:rsidRPr="00B55DDC" w:rsidRDefault="005D3A0C" w:rsidP="00846DCD">
            <w:pPr>
              <w:pStyle w:val="Geenafstand"/>
            </w:pPr>
            <w:r w:rsidRPr="00B55DDC">
              <w:t>d</w:t>
            </w:r>
          </w:p>
        </w:tc>
        <w:tc>
          <w:tcPr>
            <w:tcW w:w="6306" w:type="dxa"/>
          </w:tcPr>
          <w:p w:rsidR="00334D6D" w:rsidRPr="00B55DDC" w:rsidRDefault="00334D6D" w:rsidP="00846DCD">
            <w:pPr>
              <w:pStyle w:val="Geenafstand"/>
            </w:pPr>
            <w:proofErr w:type="spellStart"/>
            <w:r>
              <w:t>Documentation</w:t>
            </w:r>
            <w:proofErr w:type="spellEnd"/>
            <w:r>
              <w:t xml:space="preserve"> of </w:t>
            </w:r>
            <w:proofErr w:type="spellStart"/>
            <w:r>
              <w:t>organizational</w:t>
            </w:r>
            <w:proofErr w:type="spellEnd"/>
            <w:r>
              <w:t xml:space="preserve"> </w:t>
            </w:r>
            <w:proofErr w:type="spellStart"/>
            <w:r>
              <w:t>boundaries</w:t>
            </w:r>
            <w:proofErr w:type="spellEnd"/>
          </w:p>
        </w:tc>
        <w:tc>
          <w:tcPr>
            <w:tcW w:w="1842" w:type="dxa"/>
          </w:tcPr>
          <w:p w:rsidR="00334D6D" w:rsidRPr="00B55DDC" w:rsidRDefault="00334D6D" w:rsidP="00846DCD">
            <w:pPr>
              <w:pStyle w:val="Geenafstand"/>
            </w:pPr>
            <w:r>
              <w:t>5</w:t>
            </w:r>
          </w:p>
        </w:tc>
      </w:tr>
      <w:tr w:rsidR="00334D6D" w:rsidRPr="00B55DDC" w:rsidTr="00334D6D">
        <w:tc>
          <w:tcPr>
            <w:tcW w:w="919" w:type="dxa"/>
          </w:tcPr>
          <w:p w:rsidR="00334D6D" w:rsidRPr="00B55DDC" w:rsidRDefault="005D3A0C" w:rsidP="00846DCD">
            <w:pPr>
              <w:pStyle w:val="Geenafstand"/>
            </w:pPr>
            <w:r w:rsidRPr="00B55DDC">
              <w:t>e</w:t>
            </w:r>
          </w:p>
        </w:tc>
        <w:tc>
          <w:tcPr>
            <w:tcW w:w="6306" w:type="dxa"/>
          </w:tcPr>
          <w:p w:rsidR="00334D6D" w:rsidRPr="00EA7268" w:rsidRDefault="00334D6D" w:rsidP="00846DCD">
            <w:pPr>
              <w:pStyle w:val="Geenafstand"/>
              <w:rPr>
                <w:lang w:val="en-US"/>
              </w:rPr>
            </w:pPr>
            <w:r w:rsidRPr="00EA7268">
              <w:rPr>
                <w:lang w:val="en-US"/>
              </w:rPr>
              <w:t>Documentation of reporting boundaries, including criteria determined by the organization to define significant emissions</w:t>
            </w:r>
          </w:p>
        </w:tc>
        <w:tc>
          <w:tcPr>
            <w:tcW w:w="1842" w:type="dxa"/>
          </w:tcPr>
          <w:p w:rsidR="00334D6D" w:rsidRPr="00B55DDC" w:rsidRDefault="00334D6D" w:rsidP="00846DCD">
            <w:pPr>
              <w:pStyle w:val="Geenafstand"/>
            </w:pPr>
            <w:r>
              <w:t>5</w:t>
            </w:r>
          </w:p>
        </w:tc>
      </w:tr>
      <w:tr w:rsidR="00334D6D" w:rsidRPr="00B55DDC" w:rsidTr="00334D6D">
        <w:tc>
          <w:tcPr>
            <w:tcW w:w="919" w:type="dxa"/>
          </w:tcPr>
          <w:p w:rsidR="00334D6D" w:rsidRPr="00B55DDC" w:rsidRDefault="005D3A0C" w:rsidP="00846DCD">
            <w:pPr>
              <w:pStyle w:val="Geenafstand"/>
            </w:pPr>
            <w:r w:rsidRPr="00B55DDC">
              <w:t>f</w:t>
            </w:r>
          </w:p>
        </w:tc>
        <w:tc>
          <w:tcPr>
            <w:tcW w:w="6306" w:type="dxa"/>
          </w:tcPr>
          <w:p w:rsidR="00334D6D" w:rsidRPr="00EA7268" w:rsidRDefault="00334D6D" w:rsidP="00846DCD">
            <w:pPr>
              <w:pStyle w:val="Geenafstand"/>
              <w:rPr>
                <w:lang w:val="en-US"/>
              </w:rPr>
            </w:pPr>
            <w:r w:rsidRPr="00EA7268">
              <w:rPr>
                <w:lang w:val="en-US"/>
              </w:rPr>
              <w:t xml:space="preserve">Direct GHG emissions, quantified separately for CO2, CH4, N2O, NF3, SF6 and other appropriate GHG groups (HFC’s, PFCs, etc.) in </w:t>
            </w:r>
            <w:proofErr w:type="spellStart"/>
            <w:r w:rsidRPr="00EA7268">
              <w:rPr>
                <w:lang w:val="en-US"/>
              </w:rPr>
              <w:t>tonnes</w:t>
            </w:r>
            <w:proofErr w:type="spellEnd"/>
            <w:r w:rsidRPr="00EA7268">
              <w:rPr>
                <w:lang w:val="en-US"/>
              </w:rPr>
              <w:t xml:space="preserve"> of CO2e</w:t>
            </w:r>
          </w:p>
        </w:tc>
        <w:tc>
          <w:tcPr>
            <w:tcW w:w="1842" w:type="dxa"/>
          </w:tcPr>
          <w:p w:rsidR="00334D6D" w:rsidRPr="00B55DDC" w:rsidRDefault="00334D6D" w:rsidP="00846DCD">
            <w:pPr>
              <w:pStyle w:val="Geenafstand"/>
            </w:pPr>
            <w:r>
              <w:t>6</w:t>
            </w:r>
          </w:p>
        </w:tc>
      </w:tr>
      <w:tr w:rsidR="00334D6D" w:rsidRPr="00B55DDC" w:rsidTr="00334D6D">
        <w:tc>
          <w:tcPr>
            <w:tcW w:w="919" w:type="dxa"/>
          </w:tcPr>
          <w:p w:rsidR="00334D6D" w:rsidRPr="00B55DDC" w:rsidRDefault="005D3A0C" w:rsidP="00846DCD">
            <w:pPr>
              <w:pStyle w:val="Geenafstand"/>
            </w:pPr>
            <w:r>
              <w:t>g</w:t>
            </w:r>
          </w:p>
        </w:tc>
        <w:tc>
          <w:tcPr>
            <w:tcW w:w="6306" w:type="dxa"/>
          </w:tcPr>
          <w:p w:rsidR="00334D6D" w:rsidRPr="00EA7268" w:rsidRDefault="00334D6D" w:rsidP="00846DCD">
            <w:pPr>
              <w:pStyle w:val="Geenafstand"/>
              <w:rPr>
                <w:lang w:val="en-US"/>
              </w:rPr>
            </w:pPr>
            <w:r w:rsidRPr="00EA7268">
              <w:rPr>
                <w:lang w:val="en-US"/>
              </w:rPr>
              <w:t xml:space="preserve">A description of how biogenic CO2 emissions and removals are treated in the GHG inventory and the relevant biogenic CO2 emissions and removals quantified separately in </w:t>
            </w:r>
            <w:proofErr w:type="spellStart"/>
            <w:r w:rsidRPr="00EA7268">
              <w:rPr>
                <w:lang w:val="en-US"/>
              </w:rPr>
              <w:t>tonnes</w:t>
            </w:r>
            <w:proofErr w:type="spellEnd"/>
            <w:r w:rsidRPr="00EA7268">
              <w:rPr>
                <w:lang w:val="en-US"/>
              </w:rPr>
              <w:t xml:space="preserve"> of CO2e</w:t>
            </w:r>
          </w:p>
        </w:tc>
        <w:tc>
          <w:tcPr>
            <w:tcW w:w="1842" w:type="dxa"/>
          </w:tcPr>
          <w:p w:rsidR="00334D6D" w:rsidRPr="00B55DDC" w:rsidRDefault="005D3A0C" w:rsidP="00846DCD">
            <w:pPr>
              <w:pStyle w:val="Geenafstand"/>
            </w:pPr>
            <w:r>
              <w:t>6</w:t>
            </w:r>
          </w:p>
        </w:tc>
      </w:tr>
      <w:tr w:rsidR="00334D6D" w:rsidRPr="00B55DDC" w:rsidTr="00334D6D">
        <w:tc>
          <w:tcPr>
            <w:tcW w:w="919" w:type="dxa"/>
          </w:tcPr>
          <w:p w:rsidR="00334D6D" w:rsidRPr="00B55DDC" w:rsidRDefault="005D3A0C" w:rsidP="00846DCD">
            <w:pPr>
              <w:pStyle w:val="Geenafstand"/>
            </w:pPr>
            <w:r>
              <w:t>h</w:t>
            </w:r>
          </w:p>
        </w:tc>
        <w:tc>
          <w:tcPr>
            <w:tcW w:w="6306" w:type="dxa"/>
          </w:tcPr>
          <w:p w:rsidR="00334D6D" w:rsidRPr="00EA7268" w:rsidRDefault="00334D6D" w:rsidP="00846DCD">
            <w:pPr>
              <w:pStyle w:val="Geenafstand"/>
              <w:rPr>
                <w:lang w:val="en-US"/>
              </w:rPr>
            </w:pPr>
            <w:r w:rsidRPr="00EA7268">
              <w:rPr>
                <w:lang w:val="en-US"/>
              </w:rPr>
              <w:t xml:space="preserve">If quantified, direct GHG removals, in </w:t>
            </w:r>
            <w:proofErr w:type="spellStart"/>
            <w:r w:rsidRPr="00EA7268">
              <w:rPr>
                <w:lang w:val="en-US"/>
              </w:rPr>
              <w:t>tones of</w:t>
            </w:r>
            <w:proofErr w:type="spellEnd"/>
            <w:r w:rsidRPr="00EA7268">
              <w:rPr>
                <w:lang w:val="en-US"/>
              </w:rPr>
              <w:t xml:space="preserve"> CO2e</w:t>
            </w:r>
          </w:p>
        </w:tc>
        <w:tc>
          <w:tcPr>
            <w:tcW w:w="1842" w:type="dxa"/>
          </w:tcPr>
          <w:p w:rsidR="00334D6D" w:rsidRPr="00B55DDC" w:rsidRDefault="005D3A0C" w:rsidP="00846DCD">
            <w:pPr>
              <w:pStyle w:val="Geenafstand"/>
            </w:pPr>
            <w:r>
              <w:t>6</w:t>
            </w:r>
          </w:p>
        </w:tc>
      </w:tr>
      <w:tr w:rsidR="00334D6D" w:rsidRPr="00B55DDC" w:rsidTr="00334D6D">
        <w:tc>
          <w:tcPr>
            <w:tcW w:w="919" w:type="dxa"/>
          </w:tcPr>
          <w:p w:rsidR="00334D6D" w:rsidRPr="00B55DDC" w:rsidRDefault="005D3A0C" w:rsidP="00846DCD">
            <w:pPr>
              <w:pStyle w:val="Geenafstand"/>
            </w:pPr>
            <w:r>
              <w:t>i</w:t>
            </w:r>
          </w:p>
        </w:tc>
        <w:tc>
          <w:tcPr>
            <w:tcW w:w="6306" w:type="dxa"/>
          </w:tcPr>
          <w:p w:rsidR="00334D6D" w:rsidRPr="00FF7BF1" w:rsidRDefault="00334D6D" w:rsidP="00846DCD">
            <w:pPr>
              <w:pStyle w:val="Geenafstand"/>
              <w:rPr>
                <w:lang w:val="en-US"/>
              </w:rPr>
            </w:pPr>
            <w:r w:rsidRPr="00EA7268">
              <w:rPr>
                <w:lang w:val="en-US"/>
              </w:rPr>
              <w:t>Explanation of the exclusion of any significant GHG sources or sinks from the quantification</w:t>
            </w:r>
          </w:p>
        </w:tc>
        <w:tc>
          <w:tcPr>
            <w:tcW w:w="1842" w:type="dxa"/>
          </w:tcPr>
          <w:p w:rsidR="00334D6D" w:rsidRPr="00B55DDC" w:rsidRDefault="005D3A0C" w:rsidP="00846DCD">
            <w:pPr>
              <w:pStyle w:val="Geenafstand"/>
            </w:pPr>
            <w:r>
              <w:t>6</w:t>
            </w:r>
          </w:p>
        </w:tc>
      </w:tr>
      <w:tr w:rsidR="00334D6D" w:rsidRPr="00B55DDC" w:rsidTr="00334D6D">
        <w:tc>
          <w:tcPr>
            <w:tcW w:w="919" w:type="dxa"/>
          </w:tcPr>
          <w:p w:rsidR="00334D6D" w:rsidRPr="00B55DDC" w:rsidRDefault="005D3A0C" w:rsidP="00846DCD">
            <w:pPr>
              <w:pStyle w:val="Geenafstand"/>
            </w:pPr>
            <w:r>
              <w:t>j</w:t>
            </w:r>
          </w:p>
        </w:tc>
        <w:tc>
          <w:tcPr>
            <w:tcW w:w="6306" w:type="dxa"/>
          </w:tcPr>
          <w:p w:rsidR="00334D6D" w:rsidRPr="00EA7268" w:rsidRDefault="00334D6D" w:rsidP="00846DCD">
            <w:pPr>
              <w:pStyle w:val="Geenafstand"/>
              <w:rPr>
                <w:lang w:val="en-US"/>
              </w:rPr>
            </w:pPr>
            <w:r w:rsidRPr="00EA7268">
              <w:rPr>
                <w:lang w:val="en-US"/>
              </w:rPr>
              <w:t xml:space="preserve">Quantified indirect GHG emissions separated by category in </w:t>
            </w:r>
            <w:proofErr w:type="spellStart"/>
            <w:r w:rsidRPr="00EA7268">
              <w:rPr>
                <w:lang w:val="en-US"/>
              </w:rPr>
              <w:t>tonnes</w:t>
            </w:r>
            <w:proofErr w:type="spellEnd"/>
            <w:r w:rsidRPr="00EA7268">
              <w:rPr>
                <w:lang w:val="en-US"/>
              </w:rPr>
              <w:t xml:space="preserve"> of CO2e</w:t>
            </w:r>
          </w:p>
        </w:tc>
        <w:tc>
          <w:tcPr>
            <w:tcW w:w="1842" w:type="dxa"/>
          </w:tcPr>
          <w:p w:rsidR="00334D6D" w:rsidRPr="00B55DDC" w:rsidRDefault="005D3A0C" w:rsidP="00846DCD">
            <w:pPr>
              <w:pStyle w:val="Geenafstand"/>
            </w:pPr>
            <w:r>
              <w:t>6</w:t>
            </w:r>
          </w:p>
        </w:tc>
      </w:tr>
      <w:tr w:rsidR="00334D6D" w:rsidRPr="00B55DDC" w:rsidTr="00334D6D">
        <w:tc>
          <w:tcPr>
            <w:tcW w:w="919" w:type="dxa"/>
          </w:tcPr>
          <w:p w:rsidR="00334D6D" w:rsidRPr="00B55DDC" w:rsidRDefault="005D3A0C" w:rsidP="00846DCD">
            <w:pPr>
              <w:pStyle w:val="Geenafstand"/>
            </w:pPr>
            <w:r>
              <w:t>k</w:t>
            </w:r>
          </w:p>
        </w:tc>
        <w:tc>
          <w:tcPr>
            <w:tcW w:w="6306" w:type="dxa"/>
          </w:tcPr>
          <w:p w:rsidR="00334D6D" w:rsidRPr="00EA7268" w:rsidRDefault="00334D6D" w:rsidP="00846DCD">
            <w:pPr>
              <w:pStyle w:val="Geenafstand"/>
              <w:rPr>
                <w:lang w:val="en-US"/>
              </w:rPr>
            </w:pPr>
            <w:r w:rsidRPr="00EA7268">
              <w:rPr>
                <w:lang w:val="en-US"/>
              </w:rPr>
              <w:t>The historical base selected and the base-year GHG inventory</w:t>
            </w:r>
          </w:p>
        </w:tc>
        <w:tc>
          <w:tcPr>
            <w:tcW w:w="1842" w:type="dxa"/>
          </w:tcPr>
          <w:p w:rsidR="00334D6D" w:rsidRPr="00B55DDC" w:rsidRDefault="005D3A0C" w:rsidP="00846DCD">
            <w:pPr>
              <w:pStyle w:val="Geenafstand"/>
            </w:pPr>
            <w:r>
              <w:t>4</w:t>
            </w:r>
          </w:p>
        </w:tc>
      </w:tr>
      <w:tr w:rsidR="00334D6D" w:rsidRPr="00B55DDC" w:rsidTr="00334D6D">
        <w:tc>
          <w:tcPr>
            <w:tcW w:w="919" w:type="dxa"/>
          </w:tcPr>
          <w:p w:rsidR="00334D6D" w:rsidRPr="00B55DDC" w:rsidRDefault="005D3A0C" w:rsidP="00846DCD">
            <w:pPr>
              <w:pStyle w:val="Geenafstand"/>
            </w:pPr>
            <w:r>
              <w:t>l</w:t>
            </w:r>
          </w:p>
        </w:tc>
        <w:tc>
          <w:tcPr>
            <w:tcW w:w="6306" w:type="dxa"/>
          </w:tcPr>
          <w:p w:rsidR="00334D6D" w:rsidRPr="00EA7268" w:rsidRDefault="00334D6D" w:rsidP="00846DCD">
            <w:pPr>
              <w:pStyle w:val="Geenafstand"/>
              <w:rPr>
                <w:lang w:val="en-US"/>
              </w:rPr>
            </w:pPr>
            <w:r w:rsidRPr="00EA7268">
              <w:rPr>
                <w:lang w:val="en-US"/>
              </w:rPr>
              <w:t>Explanation of any change to the base year or other historical GHG data or categorization and any recalculation of the base year or other historical GHG inventory and documentation of any limitations to comparability resulting from such recalculation</w:t>
            </w:r>
          </w:p>
        </w:tc>
        <w:tc>
          <w:tcPr>
            <w:tcW w:w="1842" w:type="dxa"/>
          </w:tcPr>
          <w:p w:rsidR="00334D6D" w:rsidRPr="00B55DDC" w:rsidRDefault="005D3A0C" w:rsidP="00846DCD">
            <w:pPr>
              <w:pStyle w:val="Geenafstand"/>
            </w:pPr>
            <w:r>
              <w:t>4</w:t>
            </w:r>
          </w:p>
        </w:tc>
      </w:tr>
      <w:tr w:rsidR="00334D6D" w:rsidRPr="00B55DDC" w:rsidTr="00334D6D">
        <w:tc>
          <w:tcPr>
            <w:tcW w:w="919" w:type="dxa"/>
          </w:tcPr>
          <w:p w:rsidR="00334D6D" w:rsidRPr="00B55DDC" w:rsidRDefault="005D3A0C" w:rsidP="00846DCD">
            <w:pPr>
              <w:pStyle w:val="Geenafstand"/>
            </w:pPr>
            <w:r>
              <w:lastRenderedPageBreak/>
              <w:t>m</w:t>
            </w:r>
          </w:p>
        </w:tc>
        <w:tc>
          <w:tcPr>
            <w:tcW w:w="6306" w:type="dxa"/>
          </w:tcPr>
          <w:p w:rsidR="00334D6D" w:rsidRPr="00EA7268" w:rsidRDefault="00334D6D" w:rsidP="00846DCD">
            <w:pPr>
              <w:pStyle w:val="Geenafstand"/>
              <w:rPr>
                <w:lang w:val="en-US"/>
              </w:rPr>
            </w:pPr>
            <w:r w:rsidRPr="00EA7268">
              <w:rPr>
                <w:lang w:val="en-US"/>
              </w:rPr>
              <w:t>Reference to, or description of, quantification approaches, including reasons for their selection</w:t>
            </w:r>
          </w:p>
        </w:tc>
        <w:tc>
          <w:tcPr>
            <w:tcW w:w="1842" w:type="dxa"/>
          </w:tcPr>
          <w:p w:rsidR="00334D6D" w:rsidRPr="00B55DDC" w:rsidRDefault="005D3A0C" w:rsidP="00846DCD">
            <w:pPr>
              <w:pStyle w:val="Geenafstand"/>
            </w:pPr>
            <w:r>
              <w:t>8</w:t>
            </w:r>
          </w:p>
        </w:tc>
      </w:tr>
      <w:tr w:rsidR="00334D6D" w:rsidRPr="00B55DDC" w:rsidTr="00334D6D">
        <w:tc>
          <w:tcPr>
            <w:tcW w:w="919" w:type="dxa"/>
          </w:tcPr>
          <w:p w:rsidR="00334D6D" w:rsidRPr="00B55DDC" w:rsidRDefault="005D3A0C" w:rsidP="00846DCD">
            <w:pPr>
              <w:pStyle w:val="Geenafstand"/>
            </w:pPr>
            <w:r>
              <w:t>n</w:t>
            </w:r>
          </w:p>
        </w:tc>
        <w:tc>
          <w:tcPr>
            <w:tcW w:w="6306" w:type="dxa"/>
          </w:tcPr>
          <w:p w:rsidR="00334D6D" w:rsidRPr="00EA7268" w:rsidRDefault="00334D6D" w:rsidP="00846DCD">
            <w:pPr>
              <w:pStyle w:val="Geenafstand"/>
              <w:rPr>
                <w:lang w:val="en-US"/>
              </w:rPr>
            </w:pPr>
            <w:r w:rsidRPr="00EA7268">
              <w:rPr>
                <w:lang w:val="en-US"/>
              </w:rPr>
              <w:t>Explanation of any change to quantification approaches previously used</w:t>
            </w:r>
          </w:p>
        </w:tc>
        <w:tc>
          <w:tcPr>
            <w:tcW w:w="1842" w:type="dxa"/>
          </w:tcPr>
          <w:p w:rsidR="00334D6D" w:rsidRPr="00B55DDC" w:rsidRDefault="005D3A0C" w:rsidP="00846DCD">
            <w:pPr>
              <w:pStyle w:val="Geenafstand"/>
            </w:pPr>
            <w:r>
              <w:t>8</w:t>
            </w:r>
          </w:p>
        </w:tc>
      </w:tr>
      <w:tr w:rsidR="00334D6D" w:rsidRPr="00B55DDC" w:rsidTr="00334D6D">
        <w:tc>
          <w:tcPr>
            <w:tcW w:w="919" w:type="dxa"/>
          </w:tcPr>
          <w:p w:rsidR="00334D6D" w:rsidRPr="00B55DDC" w:rsidRDefault="005D3A0C" w:rsidP="00846DCD">
            <w:pPr>
              <w:pStyle w:val="Geenafstand"/>
            </w:pPr>
            <w:r>
              <w:t>o</w:t>
            </w:r>
          </w:p>
        </w:tc>
        <w:tc>
          <w:tcPr>
            <w:tcW w:w="6306" w:type="dxa"/>
          </w:tcPr>
          <w:p w:rsidR="00334D6D" w:rsidRPr="00FF7BF1" w:rsidRDefault="00334D6D" w:rsidP="00846DCD">
            <w:pPr>
              <w:pStyle w:val="Geenafstand"/>
              <w:rPr>
                <w:lang w:val="en-US"/>
              </w:rPr>
            </w:pPr>
            <w:r w:rsidRPr="00EA7268">
              <w:rPr>
                <w:lang w:val="en-US"/>
              </w:rPr>
              <w:t>Reference to, or documentation of, GHG emission or removal factors used</w:t>
            </w:r>
          </w:p>
        </w:tc>
        <w:tc>
          <w:tcPr>
            <w:tcW w:w="1842" w:type="dxa"/>
          </w:tcPr>
          <w:p w:rsidR="00334D6D" w:rsidRPr="00B55DDC" w:rsidRDefault="005D3A0C" w:rsidP="00846DCD">
            <w:pPr>
              <w:pStyle w:val="Geenafstand"/>
            </w:pPr>
            <w:r>
              <w:t>8</w:t>
            </w:r>
          </w:p>
        </w:tc>
      </w:tr>
      <w:tr w:rsidR="00334D6D" w:rsidRPr="00B55DDC" w:rsidTr="00334D6D">
        <w:tc>
          <w:tcPr>
            <w:tcW w:w="919" w:type="dxa"/>
          </w:tcPr>
          <w:p w:rsidR="00334D6D" w:rsidRPr="00B55DDC" w:rsidRDefault="005D3A0C" w:rsidP="00846DCD">
            <w:pPr>
              <w:pStyle w:val="Geenafstand"/>
            </w:pPr>
            <w:r>
              <w:t>p</w:t>
            </w:r>
          </w:p>
        </w:tc>
        <w:tc>
          <w:tcPr>
            <w:tcW w:w="6306" w:type="dxa"/>
          </w:tcPr>
          <w:p w:rsidR="00334D6D" w:rsidRPr="00EA7268" w:rsidRDefault="00334D6D" w:rsidP="00846DCD">
            <w:pPr>
              <w:pStyle w:val="Geenafstand"/>
              <w:rPr>
                <w:lang w:val="en-US"/>
              </w:rPr>
            </w:pPr>
            <w:r w:rsidRPr="00EA7268">
              <w:rPr>
                <w:lang w:val="en-US"/>
              </w:rPr>
              <w:t>Description of the impact of uncertainties on the accuracy of the GHG emissions and removals data per category</w:t>
            </w:r>
          </w:p>
        </w:tc>
        <w:tc>
          <w:tcPr>
            <w:tcW w:w="1842" w:type="dxa"/>
          </w:tcPr>
          <w:p w:rsidR="00334D6D" w:rsidRPr="00B55DDC" w:rsidRDefault="00334D6D" w:rsidP="00846DCD">
            <w:pPr>
              <w:pStyle w:val="Geenafstand"/>
            </w:pPr>
            <w:r w:rsidRPr="00B55DDC">
              <w:t>9</w:t>
            </w:r>
          </w:p>
        </w:tc>
      </w:tr>
      <w:tr w:rsidR="00334D6D" w:rsidRPr="00B55DDC" w:rsidTr="00334D6D">
        <w:tc>
          <w:tcPr>
            <w:tcW w:w="919" w:type="dxa"/>
          </w:tcPr>
          <w:p w:rsidR="00334D6D" w:rsidRDefault="005D3A0C" w:rsidP="00846DCD">
            <w:pPr>
              <w:pStyle w:val="Geenafstand"/>
            </w:pPr>
            <w:r>
              <w:t>q</w:t>
            </w:r>
          </w:p>
        </w:tc>
        <w:tc>
          <w:tcPr>
            <w:tcW w:w="6306" w:type="dxa"/>
          </w:tcPr>
          <w:p w:rsidR="00334D6D" w:rsidRPr="00EA7268" w:rsidRDefault="00334D6D" w:rsidP="00846DCD">
            <w:pPr>
              <w:pStyle w:val="Geenafstand"/>
              <w:rPr>
                <w:lang w:val="en-US"/>
              </w:rPr>
            </w:pPr>
            <w:r w:rsidRPr="00EA7268">
              <w:rPr>
                <w:lang w:val="en-US"/>
              </w:rPr>
              <w:t>Uncertainty assessment description and results</w:t>
            </w:r>
          </w:p>
        </w:tc>
        <w:tc>
          <w:tcPr>
            <w:tcW w:w="1842" w:type="dxa"/>
          </w:tcPr>
          <w:p w:rsidR="00334D6D" w:rsidRPr="00B55DDC" w:rsidRDefault="005D3A0C" w:rsidP="00846DCD">
            <w:pPr>
              <w:pStyle w:val="Geenafstand"/>
            </w:pPr>
            <w:r>
              <w:t>9</w:t>
            </w:r>
          </w:p>
        </w:tc>
      </w:tr>
      <w:tr w:rsidR="00334D6D" w:rsidRPr="00B55DDC" w:rsidTr="00334D6D">
        <w:trPr>
          <w:trHeight w:val="77"/>
        </w:trPr>
        <w:tc>
          <w:tcPr>
            <w:tcW w:w="919" w:type="dxa"/>
          </w:tcPr>
          <w:p w:rsidR="00334D6D" w:rsidRPr="00B55DDC" w:rsidRDefault="005D3A0C" w:rsidP="00846DCD">
            <w:pPr>
              <w:pStyle w:val="Geenafstand"/>
            </w:pPr>
            <w:r>
              <w:t>r</w:t>
            </w:r>
          </w:p>
        </w:tc>
        <w:tc>
          <w:tcPr>
            <w:tcW w:w="6306" w:type="dxa"/>
          </w:tcPr>
          <w:p w:rsidR="00334D6D" w:rsidRPr="00FF7BF1" w:rsidRDefault="00334D6D" w:rsidP="00846DCD">
            <w:pPr>
              <w:pStyle w:val="Geenafstand"/>
              <w:rPr>
                <w:lang w:val="en-US"/>
              </w:rPr>
            </w:pPr>
            <w:r w:rsidRPr="00EA7268">
              <w:rPr>
                <w:lang w:val="en-US"/>
              </w:rPr>
              <w:t>A statement that the GHG report has be</w:t>
            </w:r>
            <w:r w:rsidR="000E6AAB" w:rsidRPr="00EA7268">
              <w:rPr>
                <w:lang w:val="en-US"/>
              </w:rPr>
              <w:t>en prepared in accordance with ISO 14064</w:t>
            </w:r>
            <w:r w:rsidR="001F33CC" w:rsidRPr="00EA7268">
              <w:rPr>
                <w:lang w:val="en-US"/>
              </w:rPr>
              <w:t>-1</w:t>
            </w:r>
            <w:r w:rsidR="000E6AAB" w:rsidRPr="00EA7268">
              <w:rPr>
                <w:lang w:val="en-US"/>
              </w:rPr>
              <w:t>:2018</w:t>
            </w:r>
          </w:p>
        </w:tc>
        <w:tc>
          <w:tcPr>
            <w:tcW w:w="1842" w:type="dxa"/>
          </w:tcPr>
          <w:p w:rsidR="00334D6D" w:rsidRPr="00B55DDC" w:rsidRDefault="00334D6D" w:rsidP="00846DCD">
            <w:pPr>
              <w:pStyle w:val="Geenafstand"/>
            </w:pPr>
            <w:r w:rsidRPr="00B55DDC">
              <w:t>10</w:t>
            </w:r>
          </w:p>
        </w:tc>
      </w:tr>
      <w:tr w:rsidR="00334D6D" w:rsidRPr="00B55DDC" w:rsidTr="00334D6D">
        <w:trPr>
          <w:trHeight w:val="77"/>
        </w:trPr>
        <w:tc>
          <w:tcPr>
            <w:tcW w:w="919" w:type="dxa"/>
          </w:tcPr>
          <w:p w:rsidR="00334D6D" w:rsidRPr="00B55DDC" w:rsidRDefault="005D3A0C" w:rsidP="00846DCD">
            <w:pPr>
              <w:pStyle w:val="Geenafstand"/>
            </w:pPr>
            <w:r>
              <w:t>s</w:t>
            </w:r>
          </w:p>
        </w:tc>
        <w:tc>
          <w:tcPr>
            <w:tcW w:w="6306" w:type="dxa"/>
          </w:tcPr>
          <w:p w:rsidR="00334D6D" w:rsidRPr="00EA7268" w:rsidRDefault="00334D6D" w:rsidP="00846DCD">
            <w:pPr>
              <w:pStyle w:val="Geenafstand"/>
              <w:rPr>
                <w:lang w:val="en-US"/>
              </w:rPr>
            </w:pPr>
            <w:r w:rsidRPr="00EA7268">
              <w:rPr>
                <w:lang w:val="en-US"/>
              </w:rPr>
              <w:t>A disclosure describing whether the GHG inventory, report or statement has been verified, including the type of verification and the level of assurance achieved</w:t>
            </w:r>
          </w:p>
        </w:tc>
        <w:tc>
          <w:tcPr>
            <w:tcW w:w="1842" w:type="dxa"/>
          </w:tcPr>
          <w:p w:rsidR="00334D6D" w:rsidRPr="00B55DDC" w:rsidRDefault="005D3A0C" w:rsidP="00846DCD">
            <w:pPr>
              <w:pStyle w:val="Geenafstand"/>
            </w:pPr>
            <w:r>
              <w:t>6</w:t>
            </w:r>
          </w:p>
        </w:tc>
      </w:tr>
      <w:tr w:rsidR="00334D6D" w:rsidRPr="00B55DDC" w:rsidTr="00334D6D">
        <w:trPr>
          <w:trHeight w:val="77"/>
        </w:trPr>
        <w:tc>
          <w:tcPr>
            <w:tcW w:w="919" w:type="dxa"/>
          </w:tcPr>
          <w:p w:rsidR="00334D6D" w:rsidRDefault="005D3A0C" w:rsidP="00846DCD">
            <w:pPr>
              <w:pStyle w:val="Geenafstand"/>
            </w:pPr>
            <w:r>
              <w:t>t</w:t>
            </w:r>
          </w:p>
        </w:tc>
        <w:tc>
          <w:tcPr>
            <w:tcW w:w="6306" w:type="dxa"/>
          </w:tcPr>
          <w:p w:rsidR="00334D6D" w:rsidRPr="00EA7268" w:rsidRDefault="00334D6D" w:rsidP="00846DCD">
            <w:pPr>
              <w:pStyle w:val="Geenafstand"/>
              <w:rPr>
                <w:lang w:val="en-US"/>
              </w:rPr>
            </w:pPr>
            <w:r w:rsidRPr="00EA7268">
              <w:rPr>
                <w:lang w:val="en-US"/>
              </w:rPr>
              <w:t>The GWP values used in the calculation, as well as their source. If the GWP values are not taken from the latest IPCC report, include the emission factors or the database reference used in the calculation, as well as their source.</w:t>
            </w:r>
          </w:p>
        </w:tc>
        <w:tc>
          <w:tcPr>
            <w:tcW w:w="1842" w:type="dxa"/>
          </w:tcPr>
          <w:p w:rsidR="00334D6D" w:rsidRPr="00B55DDC" w:rsidRDefault="005D3A0C" w:rsidP="00846DCD">
            <w:pPr>
              <w:pStyle w:val="Geenafstand"/>
            </w:pPr>
            <w:r>
              <w:t>8</w:t>
            </w:r>
          </w:p>
        </w:tc>
      </w:tr>
    </w:tbl>
    <w:p w:rsidR="00846DCD" w:rsidRDefault="00846DCD" w:rsidP="00846DCD">
      <w:pPr>
        <w:pStyle w:val="Geenafstand"/>
      </w:pPr>
    </w:p>
    <w:p w:rsidR="00E92E99" w:rsidRDefault="00E92E99" w:rsidP="00E92E99">
      <w:pPr>
        <w:pStyle w:val="Kop1"/>
        <w:numPr>
          <w:ilvl w:val="0"/>
          <w:numId w:val="1"/>
        </w:numPr>
      </w:pPr>
      <w:r>
        <w:t>Meest materiële emissie</w:t>
      </w:r>
    </w:p>
    <w:p w:rsidR="00854751" w:rsidRPr="007651B2" w:rsidRDefault="00854751" w:rsidP="00854751">
      <w:r w:rsidRPr="007651B2">
        <w:t xml:space="preserve">Naast de inventarisatie van scope 1 en 2 emissies hebben wij de emissies van scope 3 in kaart gebracht. Dit zijn overige indirecte emissies die een gevolg zijn van onze activiteiten maar die voortkomen uit bronnen die geen eigendom zijn van ons en ook niet door ons worden beheerd. </w:t>
      </w:r>
    </w:p>
    <w:p w:rsidR="00854751" w:rsidRDefault="00854751" w:rsidP="00854751">
      <w:pPr>
        <w:ind w:left="360"/>
        <w:rPr>
          <w:noProof/>
        </w:rPr>
      </w:pPr>
      <w:r>
        <w:rPr>
          <w:noProof/>
        </w:rPr>
        <w:drawing>
          <wp:inline distT="0" distB="0" distL="0" distR="0" wp14:anchorId="5770D172" wp14:editId="1E1FF582">
            <wp:extent cx="5760720" cy="969010"/>
            <wp:effectExtent l="0" t="0" r="0" b="2540"/>
            <wp:docPr id="5" name="Afbeelding 5"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opname, Lettertype, lijn&#10;&#10;Automatisch gegenereerde beschrijving"/>
                    <pic:cNvPicPr/>
                  </pic:nvPicPr>
                  <pic:blipFill>
                    <a:blip r:embed="rId13"/>
                    <a:stretch>
                      <a:fillRect/>
                    </a:stretch>
                  </pic:blipFill>
                  <pic:spPr>
                    <a:xfrm>
                      <a:off x="0" y="0"/>
                      <a:ext cx="5760720" cy="969010"/>
                    </a:xfrm>
                    <a:prstGeom prst="rect">
                      <a:avLst/>
                    </a:prstGeom>
                  </pic:spPr>
                </pic:pic>
              </a:graphicData>
            </a:graphic>
          </wp:inline>
        </w:drawing>
      </w:r>
    </w:p>
    <w:p w:rsidR="00854751" w:rsidRDefault="00854751" w:rsidP="00854751">
      <w:r w:rsidRPr="007651B2">
        <w:t>Uit de materiele scope 3 emissie inventarisatie is gebleken dat de meeste CO2 emissie (</w:t>
      </w:r>
      <w:r>
        <w:t>46</w:t>
      </w:r>
      <w:r w:rsidRPr="007651B2">
        <w:t xml:space="preserve">%) uit </w:t>
      </w:r>
      <w:r>
        <w:t>kapitaalgoederen</w:t>
      </w:r>
      <w:r w:rsidRPr="007651B2">
        <w:t xml:space="preserve"> bestaat</w:t>
      </w:r>
      <w:r>
        <w:t>, dit komt met name omdat er een aantal grote investeringen zijn gedaan in 2022.</w:t>
      </w:r>
    </w:p>
    <w:p w:rsidR="00854751" w:rsidRDefault="00854751" w:rsidP="00854751">
      <w:r>
        <w:t>Hierna volgt met 42 procent de ‘leveranties projecten’, dit zijn met name mechanisatie bedrijven en leveranciers voor projectmatige goederen. Ook ‘ondernemers’ (10,2%) heeft een substantieel aandeel in de scope 3 emissies. Dienstverlening (0,6%) en afvalverwerking (1,2%) hebben relatief weinig uitstoot binnen scope 3.</w:t>
      </w:r>
    </w:p>
    <w:p w:rsidR="00F100F8" w:rsidRPr="00E92E99" w:rsidRDefault="00F100F8" w:rsidP="007B6027">
      <w:bookmarkStart w:id="10" w:name="_GoBack"/>
      <w:bookmarkEnd w:id="10"/>
    </w:p>
    <w:sectPr w:rsidR="00F100F8" w:rsidRPr="00E92E9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33" w:rsidRDefault="00CB1D33" w:rsidP="00AA6E37">
      <w:pPr>
        <w:spacing w:after="0" w:line="240" w:lineRule="auto"/>
      </w:pPr>
      <w:r>
        <w:separator/>
      </w:r>
    </w:p>
  </w:endnote>
  <w:endnote w:type="continuationSeparator" w:id="0">
    <w:p w:rsidR="00CB1D33" w:rsidRDefault="00CB1D33" w:rsidP="00AA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CD" w:rsidRDefault="00846DCD" w:rsidP="000E4570">
    <w:pPr>
      <w:pStyle w:val="Voettekst"/>
      <w:ind w:left="3252" w:firstLine="3828"/>
      <w:jc w:val="right"/>
    </w:pPr>
    <w:r>
      <w:rPr>
        <w:noProof/>
        <w:lang w:eastAsia="nl-NL"/>
      </w:rPr>
      <w:drawing>
        <wp:anchor distT="0" distB="0" distL="114300" distR="114300" simplePos="0" relativeHeight="251659264" behindDoc="0" locked="0" layoutInCell="1" allowOverlap="1" wp14:anchorId="7C3DD50D" wp14:editId="6B234C34">
          <wp:simplePos x="0" y="0"/>
          <wp:positionH relativeFrom="margin">
            <wp:posOffset>-600075</wp:posOffset>
          </wp:positionH>
          <wp:positionV relativeFrom="paragraph">
            <wp:posOffset>-38100</wp:posOffset>
          </wp:positionV>
          <wp:extent cx="2159635" cy="467995"/>
          <wp:effectExtent l="0" t="0" r="0" b="8255"/>
          <wp:wrapNone/>
          <wp:docPr id="1" name="Afbeelding 1"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CF">
      <w:t>©</w:t>
    </w:r>
    <w:proofErr w:type="spellStart"/>
    <w:r w:rsidRPr="004713CF">
      <w:t>Cumela</w:t>
    </w:r>
    <w:proofErr w:type="spellEnd"/>
    <w:r w:rsidRPr="004713CF">
      <w:t xml:space="preserve"> Advies</w:t>
    </w:r>
    <w:r>
      <w:rPr>
        <w:noProof/>
        <w:lang w:eastAsia="nl-NL"/>
      </w:rPr>
      <w:t xml:space="preserve"> </w:t>
    </w:r>
    <w:r w:rsidRPr="00BD501B">
      <w:rPr>
        <w:noProof/>
        <w:lang w:eastAsia="nl-NL"/>
      </w:rPr>
      <w:drawing>
        <wp:anchor distT="0" distB="0" distL="114300" distR="114300" simplePos="0" relativeHeight="251660288" behindDoc="1" locked="0" layoutInCell="1" allowOverlap="1" wp14:anchorId="6D7D63DC" wp14:editId="7E6CF2A4">
          <wp:simplePos x="0" y="0"/>
          <wp:positionH relativeFrom="margin">
            <wp:posOffset>1409700</wp:posOffset>
          </wp:positionH>
          <wp:positionV relativeFrom="paragraph">
            <wp:posOffset>-4263390</wp:posOffset>
          </wp:positionV>
          <wp:extent cx="4869618" cy="4764808"/>
          <wp:effectExtent l="0" t="0" r="7620" b="0"/>
          <wp:wrapNone/>
          <wp:docPr id="4" name="Afbeelding 4" descr="C:\Users\iklaarenbeek\AppData\Local\Microsoft\Windows\INetCache\Content.Word\Wiel uit briefpapie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klaarenbeek\AppData\Local\Microsoft\Windows\INetCache\Content.Word\Wiel uit briefpapier-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618" cy="47648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846DCD" w:rsidRPr="00B64E10" w:rsidRDefault="00846DCD" w:rsidP="000E4570">
    <w:pPr>
      <w:pStyle w:val="Voettekst"/>
      <w:ind w:left="3252" w:firstLine="3828"/>
      <w:jc w:val="right"/>
    </w:pPr>
    <w:r w:rsidRPr="00B64E10">
      <w:t xml:space="preserve">Pagina </w:t>
    </w:r>
    <w:r w:rsidRPr="00B64E10">
      <w:rPr>
        <w:bCs/>
      </w:rPr>
      <w:fldChar w:fldCharType="begin"/>
    </w:r>
    <w:r w:rsidRPr="00B64E10">
      <w:rPr>
        <w:bCs/>
      </w:rPr>
      <w:instrText>PAGE  \* Arabic  \* MERGEFORMAT</w:instrText>
    </w:r>
    <w:r w:rsidRPr="00B64E10">
      <w:rPr>
        <w:bCs/>
      </w:rPr>
      <w:fldChar w:fldCharType="separate"/>
    </w:r>
    <w:r w:rsidR="007B6027">
      <w:rPr>
        <w:bCs/>
        <w:noProof/>
      </w:rPr>
      <w:t>6</w:t>
    </w:r>
    <w:r w:rsidRPr="00B64E10">
      <w:rPr>
        <w:bCs/>
      </w:rPr>
      <w:fldChar w:fldCharType="end"/>
    </w:r>
    <w:r w:rsidRPr="00B64E10">
      <w:t xml:space="preserve"> van </w:t>
    </w:r>
    <w:r w:rsidRPr="00B64E10">
      <w:rPr>
        <w:bCs/>
      </w:rPr>
      <w:fldChar w:fldCharType="begin"/>
    </w:r>
    <w:r w:rsidRPr="00B64E10">
      <w:rPr>
        <w:bCs/>
      </w:rPr>
      <w:instrText>NUMPAGES  \* Arabic  \* MERGEFORMAT</w:instrText>
    </w:r>
    <w:r w:rsidRPr="00B64E10">
      <w:rPr>
        <w:bCs/>
      </w:rPr>
      <w:fldChar w:fldCharType="separate"/>
    </w:r>
    <w:r w:rsidR="007B6027">
      <w:rPr>
        <w:bCs/>
        <w:noProof/>
      </w:rPr>
      <w:t>6</w:t>
    </w:r>
    <w:r w:rsidRPr="00B64E10">
      <w:rPr>
        <w:bCs/>
      </w:rPr>
      <w:fldChar w:fldCharType="end"/>
    </w:r>
  </w:p>
  <w:p w:rsidR="00846DCD" w:rsidRDefault="00846DCD" w:rsidP="000E4570">
    <w:pPr>
      <w:pStyle w:val="Voettekst"/>
      <w:ind w:left="3252"/>
      <w:jc w:val="right"/>
    </w:pPr>
    <w:r>
      <w:rPr>
        <w:b/>
      </w:rPr>
      <w:tab/>
    </w:r>
    <w:r w:rsidR="009B1252">
      <w:tab/>
    </w:r>
    <w:r w:rsidR="000F2BF7">
      <w:t>Maart 2023</w:t>
    </w:r>
  </w:p>
  <w:p w:rsidR="00846DCD" w:rsidRDefault="00846D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33" w:rsidRDefault="00CB1D33" w:rsidP="00AA6E37">
      <w:pPr>
        <w:spacing w:after="0" w:line="240" w:lineRule="auto"/>
      </w:pPr>
      <w:r>
        <w:separator/>
      </w:r>
    </w:p>
  </w:footnote>
  <w:footnote w:type="continuationSeparator" w:id="0">
    <w:p w:rsidR="00CB1D33" w:rsidRDefault="00CB1D33" w:rsidP="00AA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37" w:rsidRPr="004713CF" w:rsidRDefault="007B6027" w:rsidP="00134CA2">
    <w:pPr>
      <w:pStyle w:val="Koptekst"/>
      <w:rPr>
        <w:sz w:val="28"/>
        <w:szCs w:val="28"/>
      </w:rPr>
    </w:pPr>
    <w:sdt>
      <w:sdtPr>
        <w:rPr>
          <w:b/>
          <w:i/>
          <w:noProof/>
          <w:sz w:val="36"/>
          <w:szCs w:val="36"/>
          <w:lang w:eastAsia="nl-NL"/>
        </w:rPr>
        <w:alias w:val="Auteur"/>
        <w:tag w:val=""/>
        <w:id w:val="-807851449"/>
        <w:placeholder>
          <w:docPart w:val="7EF459EDAB9A411DA3F2947E9626A7EF"/>
        </w:placeholder>
        <w:dataBinding w:prefixMappings="xmlns:ns0='http://purl.org/dc/elements/1.1/' xmlns:ns1='http://schemas.openxmlformats.org/package/2006/metadata/core-properties' " w:xpath="/ns1:coreProperties[1]/ns0:creator[1]" w:storeItemID="{6C3C8BC8-F283-45AE-878A-BAB7291924A1}"/>
        <w:text/>
      </w:sdtPr>
      <w:sdtEndPr/>
      <w:sdtContent>
        <w:r w:rsidR="00E25E2C">
          <w:rPr>
            <w:b/>
            <w:i/>
            <w:noProof/>
            <w:sz w:val="36"/>
            <w:szCs w:val="36"/>
            <w:lang w:eastAsia="nl-NL"/>
          </w:rPr>
          <w:t>Van Boxmeer</w:t>
        </w:r>
      </w:sdtContent>
    </w:sdt>
    <w:r w:rsidR="00AA6E37" w:rsidRPr="004713CF">
      <w:rPr>
        <w:b/>
        <w:sz w:val="28"/>
        <w:szCs w:val="28"/>
      </w:rPr>
      <w:t xml:space="preserve"> </w:t>
    </w:r>
    <w:r w:rsidR="00AA6E37">
      <w:rPr>
        <w:b/>
        <w:sz w:val="28"/>
        <w:szCs w:val="28"/>
      </w:rPr>
      <w:tab/>
    </w:r>
    <w:r w:rsidR="00AA6E37">
      <w:rPr>
        <w:b/>
        <w:sz w:val="28"/>
        <w:szCs w:val="28"/>
      </w:rPr>
      <w:tab/>
    </w:r>
    <w:r w:rsidR="00AA6E37" w:rsidRPr="00AA6E37">
      <w:rPr>
        <w:b/>
        <w:sz w:val="28"/>
        <w:szCs w:val="28"/>
      </w:rPr>
      <w:t>315.2 Emissie inventarisrapport</w:t>
    </w:r>
  </w:p>
  <w:p w:rsidR="00AA6E37" w:rsidRDefault="00AA6E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BB2"/>
    <w:multiLevelType w:val="multilevel"/>
    <w:tmpl w:val="604A8F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52673F"/>
    <w:multiLevelType w:val="hybridMultilevel"/>
    <w:tmpl w:val="CA022D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1B5B36"/>
    <w:multiLevelType w:val="hybridMultilevel"/>
    <w:tmpl w:val="CD225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DB5465"/>
    <w:multiLevelType w:val="multilevel"/>
    <w:tmpl w:val="F4D67C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37"/>
    <w:rsid w:val="00000FFC"/>
    <w:rsid w:val="00001B6A"/>
    <w:rsid w:val="00004212"/>
    <w:rsid w:val="00006C5A"/>
    <w:rsid w:val="00007A25"/>
    <w:rsid w:val="000109A7"/>
    <w:rsid w:val="000114F0"/>
    <w:rsid w:val="00013779"/>
    <w:rsid w:val="00016509"/>
    <w:rsid w:val="0001652D"/>
    <w:rsid w:val="00022C27"/>
    <w:rsid w:val="000258EC"/>
    <w:rsid w:val="000262B3"/>
    <w:rsid w:val="00026648"/>
    <w:rsid w:val="00026BFE"/>
    <w:rsid w:val="000312B2"/>
    <w:rsid w:val="00032061"/>
    <w:rsid w:val="00032F1F"/>
    <w:rsid w:val="000339D7"/>
    <w:rsid w:val="00034F48"/>
    <w:rsid w:val="00037FD7"/>
    <w:rsid w:val="0004027A"/>
    <w:rsid w:val="00042218"/>
    <w:rsid w:val="00042DFF"/>
    <w:rsid w:val="0004364D"/>
    <w:rsid w:val="00044CE1"/>
    <w:rsid w:val="00045BF5"/>
    <w:rsid w:val="00047AE8"/>
    <w:rsid w:val="00051706"/>
    <w:rsid w:val="000543B7"/>
    <w:rsid w:val="0006157F"/>
    <w:rsid w:val="00063BFA"/>
    <w:rsid w:val="0006607A"/>
    <w:rsid w:val="00070177"/>
    <w:rsid w:val="00070EC4"/>
    <w:rsid w:val="00074D85"/>
    <w:rsid w:val="00081BE9"/>
    <w:rsid w:val="00084A79"/>
    <w:rsid w:val="000853C2"/>
    <w:rsid w:val="00085430"/>
    <w:rsid w:val="00093294"/>
    <w:rsid w:val="00094901"/>
    <w:rsid w:val="0009589D"/>
    <w:rsid w:val="000968EF"/>
    <w:rsid w:val="00097176"/>
    <w:rsid w:val="000A3623"/>
    <w:rsid w:val="000A4813"/>
    <w:rsid w:val="000A4C3D"/>
    <w:rsid w:val="000A634D"/>
    <w:rsid w:val="000A6E57"/>
    <w:rsid w:val="000A79A9"/>
    <w:rsid w:val="000B0A47"/>
    <w:rsid w:val="000B0C90"/>
    <w:rsid w:val="000B1DBF"/>
    <w:rsid w:val="000B1ED5"/>
    <w:rsid w:val="000B21DF"/>
    <w:rsid w:val="000B31EB"/>
    <w:rsid w:val="000B53C7"/>
    <w:rsid w:val="000B6062"/>
    <w:rsid w:val="000B7902"/>
    <w:rsid w:val="000B7E1B"/>
    <w:rsid w:val="000C1380"/>
    <w:rsid w:val="000C3415"/>
    <w:rsid w:val="000C66B0"/>
    <w:rsid w:val="000D2D8C"/>
    <w:rsid w:val="000D3849"/>
    <w:rsid w:val="000D38BD"/>
    <w:rsid w:val="000D60F8"/>
    <w:rsid w:val="000E0972"/>
    <w:rsid w:val="000E43D3"/>
    <w:rsid w:val="000E6AAB"/>
    <w:rsid w:val="000F07A0"/>
    <w:rsid w:val="000F10B5"/>
    <w:rsid w:val="000F2BF7"/>
    <w:rsid w:val="000F451B"/>
    <w:rsid w:val="000F4DF4"/>
    <w:rsid w:val="000F5957"/>
    <w:rsid w:val="000F7866"/>
    <w:rsid w:val="00101AE2"/>
    <w:rsid w:val="00102341"/>
    <w:rsid w:val="00103F60"/>
    <w:rsid w:val="001040CC"/>
    <w:rsid w:val="001061D2"/>
    <w:rsid w:val="001065E0"/>
    <w:rsid w:val="001076C9"/>
    <w:rsid w:val="0011315B"/>
    <w:rsid w:val="00113474"/>
    <w:rsid w:val="00113A0E"/>
    <w:rsid w:val="001158A6"/>
    <w:rsid w:val="001165DB"/>
    <w:rsid w:val="001179BA"/>
    <w:rsid w:val="001213E9"/>
    <w:rsid w:val="00125839"/>
    <w:rsid w:val="0012673C"/>
    <w:rsid w:val="00127514"/>
    <w:rsid w:val="00127EA3"/>
    <w:rsid w:val="00131234"/>
    <w:rsid w:val="0013156F"/>
    <w:rsid w:val="001335E2"/>
    <w:rsid w:val="0013507C"/>
    <w:rsid w:val="0014090F"/>
    <w:rsid w:val="001413B5"/>
    <w:rsid w:val="00143D9A"/>
    <w:rsid w:val="00144473"/>
    <w:rsid w:val="0014527B"/>
    <w:rsid w:val="001452D1"/>
    <w:rsid w:val="00146FAC"/>
    <w:rsid w:val="00147BDA"/>
    <w:rsid w:val="0015608A"/>
    <w:rsid w:val="00157298"/>
    <w:rsid w:val="001573D6"/>
    <w:rsid w:val="001577C0"/>
    <w:rsid w:val="00157FFE"/>
    <w:rsid w:val="00161239"/>
    <w:rsid w:val="00162C2E"/>
    <w:rsid w:val="00165D04"/>
    <w:rsid w:val="001808F4"/>
    <w:rsid w:val="00193F9B"/>
    <w:rsid w:val="00195A23"/>
    <w:rsid w:val="001971F5"/>
    <w:rsid w:val="001A2EAE"/>
    <w:rsid w:val="001A414E"/>
    <w:rsid w:val="001A4405"/>
    <w:rsid w:val="001A564D"/>
    <w:rsid w:val="001B2483"/>
    <w:rsid w:val="001B33D7"/>
    <w:rsid w:val="001B4B62"/>
    <w:rsid w:val="001B6639"/>
    <w:rsid w:val="001C1308"/>
    <w:rsid w:val="001C534D"/>
    <w:rsid w:val="001C733D"/>
    <w:rsid w:val="001D0909"/>
    <w:rsid w:val="001D1070"/>
    <w:rsid w:val="001D5D2B"/>
    <w:rsid w:val="001D6425"/>
    <w:rsid w:val="001D6A83"/>
    <w:rsid w:val="001E22FE"/>
    <w:rsid w:val="001E252B"/>
    <w:rsid w:val="001E28AE"/>
    <w:rsid w:val="001E4796"/>
    <w:rsid w:val="001E4EE9"/>
    <w:rsid w:val="001E572B"/>
    <w:rsid w:val="001E5B47"/>
    <w:rsid w:val="001F0901"/>
    <w:rsid w:val="001F33CC"/>
    <w:rsid w:val="001F79A3"/>
    <w:rsid w:val="001F7D6F"/>
    <w:rsid w:val="002016E3"/>
    <w:rsid w:val="002059C4"/>
    <w:rsid w:val="00205A3B"/>
    <w:rsid w:val="0020706D"/>
    <w:rsid w:val="00213481"/>
    <w:rsid w:val="00214752"/>
    <w:rsid w:val="002200B1"/>
    <w:rsid w:val="0022026E"/>
    <w:rsid w:val="00220633"/>
    <w:rsid w:val="00225BED"/>
    <w:rsid w:val="002276AB"/>
    <w:rsid w:val="0023763A"/>
    <w:rsid w:val="00242E7C"/>
    <w:rsid w:val="00245871"/>
    <w:rsid w:val="00245949"/>
    <w:rsid w:val="0025221B"/>
    <w:rsid w:val="002527D9"/>
    <w:rsid w:val="00256C38"/>
    <w:rsid w:val="00263AF6"/>
    <w:rsid w:val="00263E59"/>
    <w:rsid w:val="0026799F"/>
    <w:rsid w:val="0027121A"/>
    <w:rsid w:val="002730B4"/>
    <w:rsid w:val="00275ECF"/>
    <w:rsid w:val="002767C9"/>
    <w:rsid w:val="002850CD"/>
    <w:rsid w:val="0028621B"/>
    <w:rsid w:val="002864A5"/>
    <w:rsid w:val="002916C0"/>
    <w:rsid w:val="002960A9"/>
    <w:rsid w:val="00296A0E"/>
    <w:rsid w:val="00296A89"/>
    <w:rsid w:val="002A164B"/>
    <w:rsid w:val="002A1C82"/>
    <w:rsid w:val="002A4BC7"/>
    <w:rsid w:val="002B53BC"/>
    <w:rsid w:val="002B7F41"/>
    <w:rsid w:val="002C3E50"/>
    <w:rsid w:val="002C43A8"/>
    <w:rsid w:val="002D169C"/>
    <w:rsid w:val="002D3349"/>
    <w:rsid w:val="002D39D1"/>
    <w:rsid w:val="002D5F28"/>
    <w:rsid w:val="002D6E98"/>
    <w:rsid w:val="002E34F7"/>
    <w:rsid w:val="002E47F9"/>
    <w:rsid w:val="002E715D"/>
    <w:rsid w:val="002F07B3"/>
    <w:rsid w:val="002F406E"/>
    <w:rsid w:val="002F4457"/>
    <w:rsid w:val="002F512F"/>
    <w:rsid w:val="002F6210"/>
    <w:rsid w:val="0030044D"/>
    <w:rsid w:val="0030175B"/>
    <w:rsid w:val="00302F4E"/>
    <w:rsid w:val="003073BC"/>
    <w:rsid w:val="00314950"/>
    <w:rsid w:val="00315627"/>
    <w:rsid w:val="00315E2D"/>
    <w:rsid w:val="003176C2"/>
    <w:rsid w:val="00320517"/>
    <w:rsid w:val="003206EF"/>
    <w:rsid w:val="00321621"/>
    <w:rsid w:val="003236E3"/>
    <w:rsid w:val="00324AA9"/>
    <w:rsid w:val="00324C68"/>
    <w:rsid w:val="0032599C"/>
    <w:rsid w:val="00330293"/>
    <w:rsid w:val="00330A86"/>
    <w:rsid w:val="00330B2D"/>
    <w:rsid w:val="0033321A"/>
    <w:rsid w:val="00334D6D"/>
    <w:rsid w:val="0033519A"/>
    <w:rsid w:val="003352EB"/>
    <w:rsid w:val="00341F93"/>
    <w:rsid w:val="00342353"/>
    <w:rsid w:val="00343781"/>
    <w:rsid w:val="00344B06"/>
    <w:rsid w:val="0034590F"/>
    <w:rsid w:val="003468A0"/>
    <w:rsid w:val="00350531"/>
    <w:rsid w:val="00350E03"/>
    <w:rsid w:val="0035163B"/>
    <w:rsid w:val="003517E7"/>
    <w:rsid w:val="00351CF5"/>
    <w:rsid w:val="003530F1"/>
    <w:rsid w:val="00353467"/>
    <w:rsid w:val="00353C85"/>
    <w:rsid w:val="00354343"/>
    <w:rsid w:val="00354B96"/>
    <w:rsid w:val="00356EC7"/>
    <w:rsid w:val="00357839"/>
    <w:rsid w:val="0036073E"/>
    <w:rsid w:val="00360967"/>
    <w:rsid w:val="003631C4"/>
    <w:rsid w:val="00365522"/>
    <w:rsid w:val="00367311"/>
    <w:rsid w:val="00370BAD"/>
    <w:rsid w:val="00374359"/>
    <w:rsid w:val="003748CC"/>
    <w:rsid w:val="00374F97"/>
    <w:rsid w:val="00376307"/>
    <w:rsid w:val="003831FF"/>
    <w:rsid w:val="003855BB"/>
    <w:rsid w:val="003913A3"/>
    <w:rsid w:val="00391D6A"/>
    <w:rsid w:val="00392DE2"/>
    <w:rsid w:val="00393356"/>
    <w:rsid w:val="00393B25"/>
    <w:rsid w:val="00394BD7"/>
    <w:rsid w:val="00397FC5"/>
    <w:rsid w:val="003A1E79"/>
    <w:rsid w:val="003A4CD9"/>
    <w:rsid w:val="003A7799"/>
    <w:rsid w:val="003B2141"/>
    <w:rsid w:val="003B22C0"/>
    <w:rsid w:val="003B3197"/>
    <w:rsid w:val="003B4834"/>
    <w:rsid w:val="003C0193"/>
    <w:rsid w:val="003C0FA2"/>
    <w:rsid w:val="003C1624"/>
    <w:rsid w:val="003C31A4"/>
    <w:rsid w:val="003C36B2"/>
    <w:rsid w:val="003C4B1F"/>
    <w:rsid w:val="003C6AB0"/>
    <w:rsid w:val="003C76A5"/>
    <w:rsid w:val="003D1CAB"/>
    <w:rsid w:val="003D20E5"/>
    <w:rsid w:val="003D2225"/>
    <w:rsid w:val="003D6F33"/>
    <w:rsid w:val="003D7AAA"/>
    <w:rsid w:val="003E129E"/>
    <w:rsid w:val="003E3A7A"/>
    <w:rsid w:val="003E3F0B"/>
    <w:rsid w:val="003E4E76"/>
    <w:rsid w:val="003F0878"/>
    <w:rsid w:val="003F1C4D"/>
    <w:rsid w:val="003F3DC8"/>
    <w:rsid w:val="003F41D5"/>
    <w:rsid w:val="003F54BB"/>
    <w:rsid w:val="00400C43"/>
    <w:rsid w:val="004026A0"/>
    <w:rsid w:val="004051AF"/>
    <w:rsid w:val="0040545B"/>
    <w:rsid w:val="00407608"/>
    <w:rsid w:val="00411804"/>
    <w:rsid w:val="0041794F"/>
    <w:rsid w:val="004213B8"/>
    <w:rsid w:val="00422982"/>
    <w:rsid w:val="00422D53"/>
    <w:rsid w:val="00426471"/>
    <w:rsid w:val="00431340"/>
    <w:rsid w:val="00432D99"/>
    <w:rsid w:val="00440A1E"/>
    <w:rsid w:val="00441731"/>
    <w:rsid w:val="0044615F"/>
    <w:rsid w:val="00446751"/>
    <w:rsid w:val="004471EF"/>
    <w:rsid w:val="00450E2D"/>
    <w:rsid w:val="00450FE9"/>
    <w:rsid w:val="004549E3"/>
    <w:rsid w:val="00455761"/>
    <w:rsid w:val="00457448"/>
    <w:rsid w:val="00461374"/>
    <w:rsid w:val="00464E41"/>
    <w:rsid w:val="0046598A"/>
    <w:rsid w:val="00466E01"/>
    <w:rsid w:val="00470520"/>
    <w:rsid w:val="00472421"/>
    <w:rsid w:val="004732CD"/>
    <w:rsid w:val="00477269"/>
    <w:rsid w:val="00483D17"/>
    <w:rsid w:val="004843DF"/>
    <w:rsid w:val="00491112"/>
    <w:rsid w:val="00493381"/>
    <w:rsid w:val="00496224"/>
    <w:rsid w:val="004A0185"/>
    <w:rsid w:val="004A298A"/>
    <w:rsid w:val="004A34B1"/>
    <w:rsid w:val="004A5291"/>
    <w:rsid w:val="004C4733"/>
    <w:rsid w:val="004C5757"/>
    <w:rsid w:val="004C5A9A"/>
    <w:rsid w:val="004C6F92"/>
    <w:rsid w:val="004C7F99"/>
    <w:rsid w:val="004D1D69"/>
    <w:rsid w:val="004D3900"/>
    <w:rsid w:val="004D3A4B"/>
    <w:rsid w:val="004D3C68"/>
    <w:rsid w:val="004D4151"/>
    <w:rsid w:val="004D4C6B"/>
    <w:rsid w:val="004D709C"/>
    <w:rsid w:val="004E07AA"/>
    <w:rsid w:val="004E3003"/>
    <w:rsid w:val="004E36D7"/>
    <w:rsid w:val="004E53F4"/>
    <w:rsid w:val="004F1EB9"/>
    <w:rsid w:val="004F50D0"/>
    <w:rsid w:val="004F621A"/>
    <w:rsid w:val="0050500F"/>
    <w:rsid w:val="00505C91"/>
    <w:rsid w:val="00506606"/>
    <w:rsid w:val="005101F8"/>
    <w:rsid w:val="00512FCE"/>
    <w:rsid w:val="00514312"/>
    <w:rsid w:val="0051516E"/>
    <w:rsid w:val="005152DF"/>
    <w:rsid w:val="00516EE9"/>
    <w:rsid w:val="00521302"/>
    <w:rsid w:val="00521DC6"/>
    <w:rsid w:val="00521F69"/>
    <w:rsid w:val="00522C19"/>
    <w:rsid w:val="00530A45"/>
    <w:rsid w:val="00532E8F"/>
    <w:rsid w:val="00533714"/>
    <w:rsid w:val="00533955"/>
    <w:rsid w:val="00533CB3"/>
    <w:rsid w:val="00534AA5"/>
    <w:rsid w:val="0054243E"/>
    <w:rsid w:val="00542C8E"/>
    <w:rsid w:val="00545810"/>
    <w:rsid w:val="00545CA8"/>
    <w:rsid w:val="0055173E"/>
    <w:rsid w:val="00553D63"/>
    <w:rsid w:val="00554C2F"/>
    <w:rsid w:val="00562803"/>
    <w:rsid w:val="00562A88"/>
    <w:rsid w:val="0056626C"/>
    <w:rsid w:val="00571421"/>
    <w:rsid w:val="00571829"/>
    <w:rsid w:val="00572F9A"/>
    <w:rsid w:val="005779CF"/>
    <w:rsid w:val="00580008"/>
    <w:rsid w:val="005829D4"/>
    <w:rsid w:val="00584789"/>
    <w:rsid w:val="00585D4A"/>
    <w:rsid w:val="00586D07"/>
    <w:rsid w:val="005904F4"/>
    <w:rsid w:val="005912FE"/>
    <w:rsid w:val="00593C90"/>
    <w:rsid w:val="00596411"/>
    <w:rsid w:val="00597E37"/>
    <w:rsid w:val="005A0AEB"/>
    <w:rsid w:val="005A59E4"/>
    <w:rsid w:val="005B3AB8"/>
    <w:rsid w:val="005B417B"/>
    <w:rsid w:val="005B4D47"/>
    <w:rsid w:val="005B5D67"/>
    <w:rsid w:val="005B641F"/>
    <w:rsid w:val="005B64BF"/>
    <w:rsid w:val="005B6A25"/>
    <w:rsid w:val="005C2D9A"/>
    <w:rsid w:val="005C30C1"/>
    <w:rsid w:val="005C490D"/>
    <w:rsid w:val="005C57F3"/>
    <w:rsid w:val="005D0BF1"/>
    <w:rsid w:val="005D1E11"/>
    <w:rsid w:val="005D3A0C"/>
    <w:rsid w:val="005D4DEB"/>
    <w:rsid w:val="005D7146"/>
    <w:rsid w:val="005D727E"/>
    <w:rsid w:val="005E2CF9"/>
    <w:rsid w:val="005E2DE3"/>
    <w:rsid w:val="005E4EBD"/>
    <w:rsid w:val="005F1612"/>
    <w:rsid w:val="005F422E"/>
    <w:rsid w:val="005F4BDA"/>
    <w:rsid w:val="005F5714"/>
    <w:rsid w:val="005F5C13"/>
    <w:rsid w:val="005F7409"/>
    <w:rsid w:val="006117F1"/>
    <w:rsid w:val="00613E6B"/>
    <w:rsid w:val="00614C12"/>
    <w:rsid w:val="00616434"/>
    <w:rsid w:val="00616B03"/>
    <w:rsid w:val="00620F1E"/>
    <w:rsid w:val="00622D6D"/>
    <w:rsid w:val="0062607A"/>
    <w:rsid w:val="00630483"/>
    <w:rsid w:val="00630A61"/>
    <w:rsid w:val="00633F15"/>
    <w:rsid w:val="0063538C"/>
    <w:rsid w:val="00643375"/>
    <w:rsid w:val="00643439"/>
    <w:rsid w:val="00644AB3"/>
    <w:rsid w:val="0064527E"/>
    <w:rsid w:val="00645DF1"/>
    <w:rsid w:val="00656792"/>
    <w:rsid w:val="006650AD"/>
    <w:rsid w:val="00666E23"/>
    <w:rsid w:val="0066785A"/>
    <w:rsid w:val="006707C0"/>
    <w:rsid w:val="0067157D"/>
    <w:rsid w:val="00671B93"/>
    <w:rsid w:val="006731F2"/>
    <w:rsid w:val="006736B5"/>
    <w:rsid w:val="00673EE8"/>
    <w:rsid w:val="00674082"/>
    <w:rsid w:val="00674FF0"/>
    <w:rsid w:val="00681D8E"/>
    <w:rsid w:val="006820DE"/>
    <w:rsid w:val="00682EB0"/>
    <w:rsid w:val="00683B05"/>
    <w:rsid w:val="006865C2"/>
    <w:rsid w:val="00691ECF"/>
    <w:rsid w:val="00693059"/>
    <w:rsid w:val="00694AC9"/>
    <w:rsid w:val="006A2DBD"/>
    <w:rsid w:val="006A3FF1"/>
    <w:rsid w:val="006A49C2"/>
    <w:rsid w:val="006A6B93"/>
    <w:rsid w:val="006B089B"/>
    <w:rsid w:val="006B4BEB"/>
    <w:rsid w:val="006B56BC"/>
    <w:rsid w:val="006B5BD8"/>
    <w:rsid w:val="006C0278"/>
    <w:rsid w:val="006C1439"/>
    <w:rsid w:val="006C2A97"/>
    <w:rsid w:val="006C53F4"/>
    <w:rsid w:val="006C6B34"/>
    <w:rsid w:val="006C7047"/>
    <w:rsid w:val="006D0C51"/>
    <w:rsid w:val="006D2248"/>
    <w:rsid w:val="006D287C"/>
    <w:rsid w:val="006D50DB"/>
    <w:rsid w:val="006D7B54"/>
    <w:rsid w:val="006D7CB5"/>
    <w:rsid w:val="006E19C9"/>
    <w:rsid w:val="006E5547"/>
    <w:rsid w:val="006E5710"/>
    <w:rsid w:val="006E60F4"/>
    <w:rsid w:val="006E6B79"/>
    <w:rsid w:val="006E6B7E"/>
    <w:rsid w:val="006E6D1D"/>
    <w:rsid w:val="006F6119"/>
    <w:rsid w:val="006F759F"/>
    <w:rsid w:val="00702012"/>
    <w:rsid w:val="00702733"/>
    <w:rsid w:val="0070670F"/>
    <w:rsid w:val="007074F2"/>
    <w:rsid w:val="00714549"/>
    <w:rsid w:val="00715575"/>
    <w:rsid w:val="0071576C"/>
    <w:rsid w:val="00722D36"/>
    <w:rsid w:val="007233F2"/>
    <w:rsid w:val="007269B4"/>
    <w:rsid w:val="00730E01"/>
    <w:rsid w:val="00731F78"/>
    <w:rsid w:val="00732936"/>
    <w:rsid w:val="00736469"/>
    <w:rsid w:val="0073686E"/>
    <w:rsid w:val="00737EA2"/>
    <w:rsid w:val="00740261"/>
    <w:rsid w:val="007413C4"/>
    <w:rsid w:val="007435EF"/>
    <w:rsid w:val="00746D9B"/>
    <w:rsid w:val="00747948"/>
    <w:rsid w:val="00747ACE"/>
    <w:rsid w:val="007505EE"/>
    <w:rsid w:val="00750C00"/>
    <w:rsid w:val="00752C87"/>
    <w:rsid w:val="00756877"/>
    <w:rsid w:val="0075798B"/>
    <w:rsid w:val="00760447"/>
    <w:rsid w:val="00762DEE"/>
    <w:rsid w:val="007644B6"/>
    <w:rsid w:val="00764D1C"/>
    <w:rsid w:val="007674F0"/>
    <w:rsid w:val="00771618"/>
    <w:rsid w:val="00780C85"/>
    <w:rsid w:val="00781361"/>
    <w:rsid w:val="007848F3"/>
    <w:rsid w:val="00787790"/>
    <w:rsid w:val="00790740"/>
    <w:rsid w:val="00791EDD"/>
    <w:rsid w:val="00797DD3"/>
    <w:rsid w:val="00797DE4"/>
    <w:rsid w:val="007A050C"/>
    <w:rsid w:val="007A3179"/>
    <w:rsid w:val="007A4270"/>
    <w:rsid w:val="007A4DA1"/>
    <w:rsid w:val="007A7EF4"/>
    <w:rsid w:val="007B03EB"/>
    <w:rsid w:val="007B15E2"/>
    <w:rsid w:val="007B1641"/>
    <w:rsid w:val="007B1A4C"/>
    <w:rsid w:val="007B1DA3"/>
    <w:rsid w:val="007B6027"/>
    <w:rsid w:val="007B625B"/>
    <w:rsid w:val="007B6A1A"/>
    <w:rsid w:val="007B71D6"/>
    <w:rsid w:val="007C1134"/>
    <w:rsid w:val="007C20E8"/>
    <w:rsid w:val="007C3D06"/>
    <w:rsid w:val="007C3D37"/>
    <w:rsid w:val="007C6475"/>
    <w:rsid w:val="007C6E62"/>
    <w:rsid w:val="007C770C"/>
    <w:rsid w:val="007E1C67"/>
    <w:rsid w:val="007E2EF2"/>
    <w:rsid w:val="007E46B5"/>
    <w:rsid w:val="007E474C"/>
    <w:rsid w:val="007F00E1"/>
    <w:rsid w:val="007F334A"/>
    <w:rsid w:val="007F3A27"/>
    <w:rsid w:val="007F54FD"/>
    <w:rsid w:val="007F5926"/>
    <w:rsid w:val="007F7568"/>
    <w:rsid w:val="00801D7C"/>
    <w:rsid w:val="00802B09"/>
    <w:rsid w:val="00807CD0"/>
    <w:rsid w:val="00810761"/>
    <w:rsid w:val="008112E5"/>
    <w:rsid w:val="00815684"/>
    <w:rsid w:val="00822E52"/>
    <w:rsid w:val="00824944"/>
    <w:rsid w:val="00825D05"/>
    <w:rsid w:val="0082653B"/>
    <w:rsid w:val="008274C0"/>
    <w:rsid w:val="00831D13"/>
    <w:rsid w:val="00832788"/>
    <w:rsid w:val="00832EDC"/>
    <w:rsid w:val="0083368E"/>
    <w:rsid w:val="00840533"/>
    <w:rsid w:val="008413D4"/>
    <w:rsid w:val="00846DCD"/>
    <w:rsid w:val="00846EC0"/>
    <w:rsid w:val="00847B4C"/>
    <w:rsid w:val="00850CF2"/>
    <w:rsid w:val="00853822"/>
    <w:rsid w:val="00854035"/>
    <w:rsid w:val="00854751"/>
    <w:rsid w:val="008557CB"/>
    <w:rsid w:val="00855A21"/>
    <w:rsid w:val="0085649F"/>
    <w:rsid w:val="00856B5A"/>
    <w:rsid w:val="008648C1"/>
    <w:rsid w:val="00864A89"/>
    <w:rsid w:val="00867B59"/>
    <w:rsid w:val="00867F86"/>
    <w:rsid w:val="008714ED"/>
    <w:rsid w:val="00871546"/>
    <w:rsid w:val="00871F09"/>
    <w:rsid w:val="00872F4D"/>
    <w:rsid w:val="00873979"/>
    <w:rsid w:val="00882FA6"/>
    <w:rsid w:val="00884A44"/>
    <w:rsid w:val="00885A99"/>
    <w:rsid w:val="0089130B"/>
    <w:rsid w:val="00892002"/>
    <w:rsid w:val="00892F4C"/>
    <w:rsid w:val="00893366"/>
    <w:rsid w:val="0089581A"/>
    <w:rsid w:val="00897F40"/>
    <w:rsid w:val="008A0019"/>
    <w:rsid w:val="008A0EE8"/>
    <w:rsid w:val="008A106C"/>
    <w:rsid w:val="008A21C5"/>
    <w:rsid w:val="008A39A7"/>
    <w:rsid w:val="008A46DF"/>
    <w:rsid w:val="008A4E97"/>
    <w:rsid w:val="008A5051"/>
    <w:rsid w:val="008A72D7"/>
    <w:rsid w:val="008B04B4"/>
    <w:rsid w:val="008B094C"/>
    <w:rsid w:val="008B1138"/>
    <w:rsid w:val="008B645E"/>
    <w:rsid w:val="008C3E40"/>
    <w:rsid w:val="008C5F11"/>
    <w:rsid w:val="008D1CCB"/>
    <w:rsid w:val="008D5A82"/>
    <w:rsid w:val="008D6CE3"/>
    <w:rsid w:val="008D7D12"/>
    <w:rsid w:val="008E0F6A"/>
    <w:rsid w:val="008E52F5"/>
    <w:rsid w:val="008E5E89"/>
    <w:rsid w:val="008E67DC"/>
    <w:rsid w:val="008F1C20"/>
    <w:rsid w:val="008F2171"/>
    <w:rsid w:val="008F2558"/>
    <w:rsid w:val="008F2B6C"/>
    <w:rsid w:val="008F455E"/>
    <w:rsid w:val="008F55A1"/>
    <w:rsid w:val="0090149C"/>
    <w:rsid w:val="00901EC6"/>
    <w:rsid w:val="0090268B"/>
    <w:rsid w:val="00903AC3"/>
    <w:rsid w:val="0090464B"/>
    <w:rsid w:val="00904667"/>
    <w:rsid w:val="00905D6E"/>
    <w:rsid w:val="009066D1"/>
    <w:rsid w:val="00906E5D"/>
    <w:rsid w:val="00914302"/>
    <w:rsid w:val="00917830"/>
    <w:rsid w:val="00917D45"/>
    <w:rsid w:val="0092560C"/>
    <w:rsid w:val="00926B4C"/>
    <w:rsid w:val="00931069"/>
    <w:rsid w:val="0093342B"/>
    <w:rsid w:val="00934204"/>
    <w:rsid w:val="00935EF9"/>
    <w:rsid w:val="00935FCE"/>
    <w:rsid w:val="00936310"/>
    <w:rsid w:val="00937786"/>
    <w:rsid w:val="00943733"/>
    <w:rsid w:val="00944069"/>
    <w:rsid w:val="00950B34"/>
    <w:rsid w:val="00961443"/>
    <w:rsid w:val="00963E91"/>
    <w:rsid w:val="00963F6F"/>
    <w:rsid w:val="00971120"/>
    <w:rsid w:val="009773B6"/>
    <w:rsid w:val="0097753C"/>
    <w:rsid w:val="00984ABC"/>
    <w:rsid w:val="00987951"/>
    <w:rsid w:val="00992E7B"/>
    <w:rsid w:val="0099416E"/>
    <w:rsid w:val="00995DB3"/>
    <w:rsid w:val="009968E2"/>
    <w:rsid w:val="00996BA3"/>
    <w:rsid w:val="009A060A"/>
    <w:rsid w:val="009A199C"/>
    <w:rsid w:val="009A373F"/>
    <w:rsid w:val="009A3870"/>
    <w:rsid w:val="009A62EF"/>
    <w:rsid w:val="009A7380"/>
    <w:rsid w:val="009A7BDA"/>
    <w:rsid w:val="009B10AA"/>
    <w:rsid w:val="009B1252"/>
    <w:rsid w:val="009B2702"/>
    <w:rsid w:val="009B795B"/>
    <w:rsid w:val="009D5F96"/>
    <w:rsid w:val="009D6C17"/>
    <w:rsid w:val="009E0355"/>
    <w:rsid w:val="009E48E5"/>
    <w:rsid w:val="009E5683"/>
    <w:rsid w:val="009F273F"/>
    <w:rsid w:val="009F37ED"/>
    <w:rsid w:val="009F4C67"/>
    <w:rsid w:val="009F5ADC"/>
    <w:rsid w:val="009F71C9"/>
    <w:rsid w:val="009F7C44"/>
    <w:rsid w:val="00A01353"/>
    <w:rsid w:val="00A013D7"/>
    <w:rsid w:val="00A0273F"/>
    <w:rsid w:val="00A11458"/>
    <w:rsid w:val="00A149E6"/>
    <w:rsid w:val="00A17E9E"/>
    <w:rsid w:val="00A25B07"/>
    <w:rsid w:val="00A27F64"/>
    <w:rsid w:val="00A30E5D"/>
    <w:rsid w:val="00A3161F"/>
    <w:rsid w:val="00A32A6A"/>
    <w:rsid w:val="00A32DCA"/>
    <w:rsid w:val="00A350E0"/>
    <w:rsid w:val="00A35F2B"/>
    <w:rsid w:val="00A36A6D"/>
    <w:rsid w:val="00A37D1D"/>
    <w:rsid w:val="00A4029B"/>
    <w:rsid w:val="00A4191F"/>
    <w:rsid w:val="00A42E62"/>
    <w:rsid w:val="00A45148"/>
    <w:rsid w:val="00A453F0"/>
    <w:rsid w:val="00A544CB"/>
    <w:rsid w:val="00A61425"/>
    <w:rsid w:val="00A6174C"/>
    <w:rsid w:val="00A62B5D"/>
    <w:rsid w:val="00A6451A"/>
    <w:rsid w:val="00A700D9"/>
    <w:rsid w:val="00A81FE9"/>
    <w:rsid w:val="00A82207"/>
    <w:rsid w:val="00A846EB"/>
    <w:rsid w:val="00A911A2"/>
    <w:rsid w:val="00A938C2"/>
    <w:rsid w:val="00A94025"/>
    <w:rsid w:val="00A96F54"/>
    <w:rsid w:val="00AA0B4B"/>
    <w:rsid w:val="00AA1F52"/>
    <w:rsid w:val="00AA2353"/>
    <w:rsid w:val="00AA25B6"/>
    <w:rsid w:val="00AA2B7F"/>
    <w:rsid w:val="00AA4BE8"/>
    <w:rsid w:val="00AA6E37"/>
    <w:rsid w:val="00AB308A"/>
    <w:rsid w:val="00AB4AF0"/>
    <w:rsid w:val="00AB64A8"/>
    <w:rsid w:val="00AB7A96"/>
    <w:rsid w:val="00AC2003"/>
    <w:rsid w:val="00AC2127"/>
    <w:rsid w:val="00AC3A1D"/>
    <w:rsid w:val="00AC71B4"/>
    <w:rsid w:val="00AD00BE"/>
    <w:rsid w:val="00AD0250"/>
    <w:rsid w:val="00AD1B04"/>
    <w:rsid w:val="00AD203C"/>
    <w:rsid w:val="00AD4BC9"/>
    <w:rsid w:val="00AD7D0F"/>
    <w:rsid w:val="00AE0B29"/>
    <w:rsid w:val="00AE1D3E"/>
    <w:rsid w:val="00AE383C"/>
    <w:rsid w:val="00AE6EBE"/>
    <w:rsid w:val="00AE7916"/>
    <w:rsid w:val="00AF2EA9"/>
    <w:rsid w:val="00AF3112"/>
    <w:rsid w:val="00AF3EE4"/>
    <w:rsid w:val="00AF7A4E"/>
    <w:rsid w:val="00B0154D"/>
    <w:rsid w:val="00B03BDF"/>
    <w:rsid w:val="00B044DA"/>
    <w:rsid w:val="00B054A5"/>
    <w:rsid w:val="00B10264"/>
    <w:rsid w:val="00B10430"/>
    <w:rsid w:val="00B120C9"/>
    <w:rsid w:val="00B14564"/>
    <w:rsid w:val="00B14F3C"/>
    <w:rsid w:val="00B178D6"/>
    <w:rsid w:val="00B20539"/>
    <w:rsid w:val="00B25C76"/>
    <w:rsid w:val="00B25D6F"/>
    <w:rsid w:val="00B26522"/>
    <w:rsid w:val="00B30785"/>
    <w:rsid w:val="00B30A03"/>
    <w:rsid w:val="00B337A3"/>
    <w:rsid w:val="00B45211"/>
    <w:rsid w:val="00B45C11"/>
    <w:rsid w:val="00B47F96"/>
    <w:rsid w:val="00B543FB"/>
    <w:rsid w:val="00B5557B"/>
    <w:rsid w:val="00B55603"/>
    <w:rsid w:val="00B568FE"/>
    <w:rsid w:val="00B634C0"/>
    <w:rsid w:val="00B645F7"/>
    <w:rsid w:val="00B668FD"/>
    <w:rsid w:val="00B67323"/>
    <w:rsid w:val="00B70123"/>
    <w:rsid w:val="00B7015D"/>
    <w:rsid w:val="00B70AD2"/>
    <w:rsid w:val="00B711D8"/>
    <w:rsid w:val="00B7344E"/>
    <w:rsid w:val="00B73710"/>
    <w:rsid w:val="00B820DB"/>
    <w:rsid w:val="00B82E73"/>
    <w:rsid w:val="00B83CFC"/>
    <w:rsid w:val="00B83E66"/>
    <w:rsid w:val="00B85112"/>
    <w:rsid w:val="00B938BF"/>
    <w:rsid w:val="00B939FB"/>
    <w:rsid w:val="00BA01A7"/>
    <w:rsid w:val="00BA279E"/>
    <w:rsid w:val="00BA3E70"/>
    <w:rsid w:val="00BA5E2C"/>
    <w:rsid w:val="00BA5F56"/>
    <w:rsid w:val="00BA7AAC"/>
    <w:rsid w:val="00BB01C3"/>
    <w:rsid w:val="00BB0808"/>
    <w:rsid w:val="00BC2418"/>
    <w:rsid w:val="00BC79C2"/>
    <w:rsid w:val="00BD01D3"/>
    <w:rsid w:val="00BD238B"/>
    <w:rsid w:val="00BD2684"/>
    <w:rsid w:val="00BD34BA"/>
    <w:rsid w:val="00BD39D0"/>
    <w:rsid w:val="00BD5646"/>
    <w:rsid w:val="00BE71C7"/>
    <w:rsid w:val="00BE792C"/>
    <w:rsid w:val="00BF1198"/>
    <w:rsid w:val="00BF57BF"/>
    <w:rsid w:val="00BF6302"/>
    <w:rsid w:val="00BF71AA"/>
    <w:rsid w:val="00BF7DD4"/>
    <w:rsid w:val="00C00940"/>
    <w:rsid w:val="00C01CFF"/>
    <w:rsid w:val="00C030BA"/>
    <w:rsid w:val="00C03E75"/>
    <w:rsid w:val="00C04A03"/>
    <w:rsid w:val="00C05881"/>
    <w:rsid w:val="00C05AC7"/>
    <w:rsid w:val="00C078DC"/>
    <w:rsid w:val="00C10584"/>
    <w:rsid w:val="00C11C13"/>
    <w:rsid w:val="00C1211E"/>
    <w:rsid w:val="00C20714"/>
    <w:rsid w:val="00C20BB0"/>
    <w:rsid w:val="00C23F09"/>
    <w:rsid w:val="00C23FE6"/>
    <w:rsid w:val="00C31AFE"/>
    <w:rsid w:val="00C31C31"/>
    <w:rsid w:val="00C34218"/>
    <w:rsid w:val="00C362F6"/>
    <w:rsid w:val="00C411EA"/>
    <w:rsid w:val="00C4397A"/>
    <w:rsid w:val="00C44A07"/>
    <w:rsid w:val="00C54A03"/>
    <w:rsid w:val="00C54B4B"/>
    <w:rsid w:val="00C54BC8"/>
    <w:rsid w:val="00C56214"/>
    <w:rsid w:val="00C60212"/>
    <w:rsid w:val="00C61F35"/>
    <w:rsid w:val="00C64E48"/>
    <w:rsid w:val="00C6709C"/>
    <w:rsid w:val="00C67D7B"/>
    <w:rsid w:val="00C70F72"/>
    <w:rsid w:val="00C739B4"/>
    <w:rsid w:val="00C73DA5"/>
    <w:rsid w:val="00C743DB"/>
    <w:rsid w:val="00C74DC9"/>
    <w:rsid w:val="00C821CC"/>
    <w:rsid w:val="00C82BD7"/>
    <w:rsid w:val="00C82CED"/>
    <w:rsid w:val="00C83411"/>
    <w:rsid w:val="00C85186"/>
    <w:rsid w:val="00C872DA"/>
    <w:rsid w:val="00C93AF4"/>
    <w:rsid w:val="00CA3892"/>
    <w:rsid w:val="00CA530B"/>
    <w:rsid w:val="00CA5DA0"/>
    <w:rsid w:val="00CA62C3"/>
    <w:rsid w:val="00CB11A1"/>
    <w:rsid w:val="00CB1663"/>
    <w:rsid w:val="00CB1D33"/>
    <w:rsid w:val="00CB64C8"/>
    <w:rsid w:val="00CB716F"/>
    <w:rsid w:val="00CC003C"/>
    <w:rsid w:val="00CC0516"/>
    <w:rsid w:val="00CC09EE"/>
    <w:rsid w:val="00CC60E4"/>
    <w:rsid w:val="00CC6FAE"/>
    <w:rsid w:val="00CD18EC"/>
    <w:rsid w:val="00CD42B2"/>
    <w:rsid w:val="00CD5B62"/>
    <w:rsid w:val="00CD5DAE"/>
    <w:rsid w:val="00CD6F33"/>
    <w:rsid w:val="00CF1E34"/>
    <w:rsid w:val="00CF1FDB"/>
    <w:rsid w:val="00CF20BB"/>
    <w:rsid w:val="00CF35C3"/>
    <w:rsid w:val="00CF45D1"/>
    <w:rsid w:val="00CF4FF4"/>
    <w:rsid w:val="00CF68F0"/>
    <w:rsid w:val="00CF6B07"/>
    <w:rsid w:val="00D0602E"/>
    <w:rsid w:val="00D064E5"/>
    <w:rsid w:val="00D06A4B"/>
    <w:rsid w:val="00D06FE8"/>
    <w:rsid w:val="00D13E59"/>
    <w:rsid w:val="00D15EBC"/>
    <w:rsid w:val="00D20A7F"/>
    <w:rsid w:val="00D228DC"/>
    <w:rsid w:val="00D241E6"/>
    <w:rsid w:val="00D25A29"/>
    <w:rsid w:val="00D2790D"/>
    <w:rsid w:val="00D27B11"/>
    <w:rsid w:val="00D32074"/>
    <w:rsid w:val="00D33C3F"/>
    <w:rsid w:val="00D37102"/>
    <w:rsid w:val="00D418E4"/>
    <w:rsid w:val="00D420D2"/>
    <w:rsid w:val="00D425A5"/>
    <w:rsid w:val="00D42D36"/>
    <w:rsid w:val="00D468EE"/>
    <w:rsid w:val="00D51C8F"/>
    <w:rsid w:val="00D53A8B"/>
    <w:rsid w:val="00D5724D"/>
    <w:rsid w:val="00D6021B"/>
    <w:rsid w:val="00D6182D"/>
    <w:rsid w:val="00D65D1B"/>
    <w:rsid w:val="00D66BFD"/>
    <w:rsid w:val="00D67BC1"/>
    <w:rsid w:val="00D704DA"/>
    <w:rsid w:val="00D7216B"/>
    <w:rsid w:val="00D77709"/>
    <w:rsid w:val="00D81A05"/>
    <w:rsid w:val="00D81A12"/>
    <w:rsid w:val="00D8435B"/>
    <w:rsid w:val="00D852F4"/>
    <w:rsid w:val="00D86EA7"/>
    <w:rsid w:val="00D916D1"/>
    <w:rsid w:val="00D95842"/>
    <w:rsid w:val="00DB0259"/>
    <w:rsid w:val="00DB14C4"/>
    <w:rsid w:val="00DB1535"/>
    <w:rsid w:val="00DB1E14"/>
    <w:rsid w:val="00DB2413"/>
    <w:rsid w:val="00DB5BFC"/>
    <w:rsid w:val="00DC005B"/>
    <w:rsid w:val="00DC122A"/>
    <w:rsid w:val="00DC6270"/>
    <w:rsid w:val="00DC6AF0"/>
    <w:rsid w:val="00DD1003"/>
    <w:rsid w:val="00DD3304"/>
    <w:rsid w:val="00DD3604"/>
    <w:rsid w:val="00DD485C"/>
    <w:rsid w:val="00DD6647"/>
    <w:rsid w:val="00DD7AE9"/>
    <w:rsid w:val="00DE039E"/>
    <w:rsid w:val="00DE3169"/>
    <w:rsid w:val="00DE378A"/>
    <w:rsid w:val="00DF05AC"/>
    <w:rsid w:val="00DF3326"/>
    <w:rsid w:val="00E01D60"/>
    <w:rsid w:val="00E0410E"/>
    <w:rsid w:val="00E06E46"/>
    <w:rsid w:val="00E070A7"/>
    <w:rsid w:val="00E0726E"/>
    <w:rsid w:val="00E10CC3"/>
    <w:rsid w:val="00E130CD"/>
    <w:rsid w:val="00E20165"/>
    <w:rsid w:val="00E20353"/>
    <w:rsid w:val="00E215BA"/>
    <w:rsid w:val="00E21B14"/>
    <w:rsid w:val="00E22554"/>
    <w:rsid w:val="00E245F8"/>
    <w:rsid w:val="00E25E2C"/>
    <w:rsid w:val="00E30A0B"/>
    <w:rsid w:val="00E30C6F"/>
    <w:rsid w:val="00E30C9D"/>
    <w:rsid w:val="00E333F8"/>
    <w:rsid w:val="00E338C9"/>
    <w:rsid w:val="00E404F3"/>
    <w:rsid w:val="00E4117D"/>
    <w:rsid w:val="00E43BAB"/>
    <w:rsid w:val="00E47E43"/>
    <w:rsid w:val="00E529C0"/>
    <w:rsid w:val="00E52B3B"/>
    <w:rsid w:val="00E54D41"/>
    <w:rsid w:val="00E56906"/>
    <w:rsid w:val="00E57E71"/>
    <w:rsid w:val="00E622CC"/>
    <w:rsid w:val="00E67673"/>
    <w:rsid w:val="00E67B8B"/>
    <w:rsid w:val="00E72520"/>
    <w:rsid w:val="00E726E1"/>
    <w:rsid w:val="00E76F0E"/>
    <w:rsid w:val="00E828AF"/>
    <w:rsid w:val="00E83CFA"/>
    <w:rsid w:val="00E84CAA"/>
    <w:rsid w:val="00E853B9"/>
    <w:rsid w:val="00E862EC"/>
    <w:rsid w:val="00E86AA6"/>
    <w:rsid w:val="00E87216"/>
    <w:rsid w:val="00E87E14"/>
    <w:rsid w:val="00E9034E"/>
    <w:rsid w:val="00E90633"/>
    <w:rsid w:val="00E91996"/>
    <w:rsid w:val="00E92414"/>
    <w:rsid w:val="00E92E99"/>
    <w:rsid w:val="00E962DB"/>
    <w:rsid w:val="00EA4AB9"/>
    <w:rsid w:val="00EA4C7C"/>
    <w:rsid w:val="00EA50A4"/>
    <w:rsid w:val="00EA7268"/>
    <w:rsid w:val="00EB1CD3"/>
    <w:rsid w:val="00EB34D1"/>
    <w:rsid w:val="00EB3B94"/>
    <w:rsid w:val="00EB5F3E"/>
    <w:rsid w:val="00EC006E"/>
    <w:rsid w:val="00EC3ABE"/>
    <w:rsid w:val="00EC7DDC"/>
    <w:rsid w:val="00ED0C43"/>
    <w:rsid w:val="00ED2797"/>
    <w:rsid w:val="00ED4BEE"/>
    <w:rsid w:val="00ED4F4C"/>
    <w:rsid w:val="00ED5174"/>
    <w:rsid w:val="00ED57B2"/>
    <w:rsid w:val="00ED755E"/>
    <w:rsid w:val="00EE0967"/>
    <w:rsid w:val="00EE18F4"/>
    <w:rsid w:val="00EE2554"/>
    <w:rsid w:val="00EE4DCD"/>
    <w:rsid w:val="00EF0435"/>
    <w:rsid w:val="00EF0CE8"/>
    <w:rsid w:val="00EF3284"/>
    <w:rsid w:val="00EF5C81"/>
    <w:rsid w:val="00EF5D4A"/>
    <w:rsid w:val="00EF6C05"/>
    <w:rsid w:val="00F00053"/>
    <w:rsid w:val="00F0103D"/>
    <w:rsid w:val="00F0112D"/>
    <w:rsid w:val="00F01C0C"/>
    <w:rsid w:val="00F05C9C"/>
    <w:rsid w:val="00F05EEE"/>
    <w:rsid w:val="00F0661D"/>
    <w:rsid w:val="00F100F8"/>
    <w:rsid w:val="00F121AC"/>
    <w:rsid w:val="00F1261F"/>
    <w:rsid w:val="00F13010"/>
    <w:rsid w:val="00F13FE7"/>
    <w:rsid w:val="00F140F1"/>
    <w:rsid w:val="00F14B7D"/>
    <w:rsid w:val="00F154B3"/>
    <w:rsid w:val="00F27957"/>
    <w:rsid w:val="00F30F24"/>
    <w:rsid w:val="00F324CE"/>
    <w:rsid w:val="00F33663"/>
    <w:rsid w:val="00F33821"/>
    <w:rsid w:val="00F3684E"/>
    <w:rsid w:val="00F37667"/>
    <w:rsid w:val="00F4255C"/>
    <w:rsid w:val="00F46539"/>
    <w:rsid w:val="00F50ED2"/>
    <w:rsid w:val="00F50F88"/>
    <w:rsid w:val="00F53913"/>
    <w:rsid w:val="00F564BC"/>
    <w:rsid w:val="00F56738"/>
    <w:rsid w:val="00F601AC"/>
    <w:rsid w:val="00F62EBA"/>
    <w:rsid w:val="00F63841"/>
    <w:rsid w:val="00F662F6"/>
    <w:rsid w:val="00F67013"/>
    <w:rsid w:val="00F67CA7"/>
    <w:rsid w:val="00F70910"/>
    <w:rsid w:val="00F762B7"/>
    <w:rsid w:val="00F7688D"/>
    <w:rsid w:val="00F76E6A"/>
    <w:rsid w:val="00F80FEF"/>
    <w:rsid w:val="00F8138C"/>
    <w:rsid w:val="00F813B1"/>
    <w:rsid w:val="00F82E7E"/>
    <w:rsid w:val="00F83732"/>
    <w:rsid w:val="00F874DA"/>
    <w:rsid w:val="00F9226F"/>
    <w:rsid w:val="00F9370D"/>
    <w:rsid w:val="00F94542"/>
    <w:rsid w:val="00F96CAC"/>
    <w:rsid w:val="00F97DEA"/>
    <w:rsid w:val="00FA0FDA"/>
    <w:rsid w:val="00FA23D6"/>
    <w:rsid w:val="00FA26B6"/>
    <w:rsid w:val="00FA3B78"/>
    <w:rsid w:val="00FA77D5"/>
    <w:rsid w:val="00FB10D3"/>
    <w:rsid w:val="00FB465D"/>
    <w:rsid w:val="00FB78BD"/>
    <w:rsid w:val="00FC1FD6"/>
    <w:rsid w:val="00FC2508"/>
    <w:rsid w:val="00FC3EA2"/>
    <w:rsid w:val="00FC3EBC"/>
    <w:rsid w:val="00FD1D93"/>
    <w:rsid w:val="00FD3090"/>
    <w:rsid w:val="00FD3608"/>
    <w:rsid w:val="00FE3CC0"/>
    <w:rsid w:val="00FE50EE"/>
    <w:rsid w:val="00FE7B4D"/>
    <w:rsid w:val="00FF0AA5"/>
    <w:rsid w:val="00FF0E07"/>
    <w:rsid w:val="00FF1ED7"/>
    <w:rsid w:val="00FF54DE"/>
    <w:rsid w:val="00FF7932"/>
    <w:rsid w:val="00FF7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CFFB"/>
  <w15:chartTrackingRefBased/>
  <w15:docId w15:val="{B99C08C0-E885-4E68-AD6B-D09EE923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0ED2"/>
    <w:rPr>
      <w:rFonts w:ascii="Calibri" w:hAnsi="Calibri"/>
      <w:color w:val="0B3B60"/>
    </w:rPr>
  </w:style>
  <w:style w:type="paragraph" w:styleId="Kop1">
    <w:name w:val="heading 1"/>
    <w:basedOn w:val="Standaard"/>
    <w:next w:val="Standaard"/>
    <w:link w:val="Kop1Char"/>
    <w:uiPriority w:val="9"/>
    <w:qFormat/>
    <w:rsid w:val="00846DCD"/>
    <w:pPr>
      <w:keepNext/>
      <w:keepLines/>
      <w:spacing w:before="240" w:after="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6E37"/>
    <w:pPr>
      <w:overflowPunct w:val="0"/>
      <w:autoSpaceDE w:val="0"/>
      <w:autoSpaceDN w:val="0"/>
      <w:adjustRightInd w:val="0"/>
      <w:spacing w:after="0" w:line="240" w:lineRule="auto"/>
    </w:pPr>
    <w:rPr>
      <w:rFonts w:ascii="Calibri" w:eastAsia="Times New Roman" w:hAnsi="Calibri" w:cs="Times New Roman"/>
      <w:color w:val="0B3B60"/>
      <w:szCs w:val="20"/>
      <w:lang w:eastAsia="nl-NL"/>
    </w:rPr>
  </w:style>
  <w:style w:type="paragraph" w:styleId="Koptekst">
    <w:name w:val="header"/>
    <w:basedOn w:val="Standaard"/>
    <w:link w:val="KoptekstChar"/>
    <w:uiPriority w:val="99"/>
    <w:unhideWhenUsed/>
    <w:rsid w:val="00AA6E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E37"/>
    <w:rPr>
      <w:rFonts w:ascii="Calibri" w:hAnsi="Calibri"/>
      <w:color w:val="0B3B60"/>
    </w:rPr>
  </w:style>
  <w:style w:type="paragraph" w:styleId="Voettekst">
    <w:name w:val="footer"/>
    <w:basedOn w:val="Standaard"/>
    <w:link w:val="VoettekstChar"/>
    <w:uiPriority w:val="99"/>
    <w:unhideWhenUsed/>
    <w:rsid w:val="00AA6E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E37"/>
    <w:rPr>
      <w:rFonts w:ascii="Calibri" w:hAnsi="Calibri"/>
      <w:color w:val="0B3B60"/>
    </w:rPr>
  </w:style>
  <w:style w:type="table" w:styleId="Tabelraster">
    <w:name w:val="Table Grid"/>
    <w:basedOn w:val="Standaardtabel"/>
    <w:uiPriority w:val="39"/>
    <w:rsid w:val="00A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46DCD"/>
    <w:rPr>
      <w:color w:val="0563C1" w:themeColor="hyperlink"/>
      <w:u w:val="single"/>
    </w:rPr>
  </w:style>
  <w:style w:type="character" w:customStyle="1" w:styleId="Vermelding1">
    <w:name w:val="Vermelding1"/>
    <w:basedOn w:val="Standaardalinea-lettertype"/>
    <w:uiPriority w:val="99"/>
    <w:semiHidden/>
    <w:unhideWhenUsed/>
    <w:rsid w:val="00846DCD"/>
    <w:rPr>
      <w:color w:val="2B579A"/>
      <w:shd w:val="clear" w:color="auto" w:fill="E6E6E6"/>
    </w:rPr>
  </w:style>
  <w:style w:type="character" w:customStyle="1" w:styleId="Kop1Char">
    <w:name w:val="Kop 1 Char"/>
    <w:basedOn w:val="Standaardalinea-lettertype"/>
    <w:link w:val="Kop1"/>
    <w:uiPriority w:val="9"/>
    <w:rsid w:val="00846DCD"/>
    <w:rPr>
      <w:rFonts w:ascii="Calibri" w:eastAsiaTheme="majorEastAsia" w:hAnsi="Calibri" w:cstheme="majorBidi"/>
      <w:b/>
      <w:color w:val="0B3B60"/>
      <w:szCs w:val="32"/>
    </w:rPr>
  </w:style>
  <w:style w:type="paragraph" w:styleId="Kopvaninhoudsopgave">
    <w:name w:val="TOC Heading"/>
    <w:basedOn w:val="Kop1"/>
    <w:next w:val="Standaard"/>
    <w:uiPriority w:val="39"/>
    <w:unhideWhenUsed/>
    <w:qFormat/>
    <w:rsid w:val="00846DCD"/>
    <w:pPr>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846DCD"/>
    <w:pPr>
      <w:spacing w:after="100"/>
    </w:pPr>
  </w:style>
  <w:style w:type="paragraph" w:styleId="Lijstalinea">
    <w:name w:val="List Paragraph"/>
    <w:basedOn w:val="Standaard"/>
    <w:uiPriority w:val="34"/>
    <w:qFormat/>
    <w:rsid w:val="00F100F8"/>
    <w:pPr>
      <w:ind w:left="720"/>
      <w:contextualSpacing/>
    </w:pPr>
  </w:style>
  <w:style w:type="paragraph" w:styleId="Ballontekst">
    <w:name w:val="Balloon Text"/>
    <w:basedOn w:val="Standaard"/>
    <w:link w:val="BallontekstChar"/>
    <w:uiPriority w:val="99"/>
    <w:semiHidden/>
    <w:unhideWhenUsed/>
    <w:rsid w:val="00F76E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6E6A"/>
    <w:rPr>
      <w:rFonts w:ascii="Segoe UI" w:hAnsi="Segoe UI" w:cs="Segoe UI"/>
      <w:color w:val="0B3B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2emissiefactoren.n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2emissiefactore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2emissiefactoren.nl" TargetMode="External"/><Relationship Id="rId4" Type="http://schemas.openxmlformats.org/officeDocument/2006/relationships/settings" Target="settings.xml"/><Relationship Id="rId9" Type="http://schemas.openxmlformats.org/officeDocument/2006/relationships/hyperlink" Target="http://www.co2emissiefactoren.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459EDAB9A411DA3F2947E9626A7EF"/>
        <w:category>
          <w:name w:val="Algemeen"/>
          <w:gallery w:val="placeholder"/>
        </w:category>
        <w:types>
          <w:type w:val="bbPlcHdr"/>
        </w:types>
        <w:behaviors>
          <w:behavior w:val="content"/>
        </w:behaviors>
        <w:guid w:val="{0EB0FDE8-EB91-40DF-A098-884CB7F3EBB3}"/>
      </w:docPartPr>
      <w:docPartBody>
        <w:p w:rsidR="009761F7" w:rsidRDefault="007F3AFC" w:rsidP="007F3AFC">
          <w:pPr>
            <w:pStyle w:val="7EF459EDAB9A411DA3F2947E9626A7EF"/>
          </w:pPr>
          <w:r w:rsidRPr="00733A61">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FC"/>
    <w:rsid w:val="006D29CC"/>
    <w:rsid w:val="007F3AFC"/>
    <w:rsid w:val="00976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3AFC"/>
    <w:rPr>
      <w:color w:val="808080"/>
    </w:rPr>
  </w:style>
  <w:style w:type="paragraph" w:customStyle="1" w:styleId="7EF459EDAB9A411DA3F2947E9626A7EF">
    <w:name w:val="7EF459EDAB9A411DA3F2947E9626A7EF"/>
    <w:rsid w:val="007F3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D3FDA-2A64-41F6-A327-D340B4CD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1952</Words>
  <Characters>10740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Boxmeer</dc:creator>
  <cp:keywords/>
  <dc:description/>
  <cp:lastModifiedBy>Bram Lodder - Van Boxmeer B.V.</cp:lastModifiedBy>
  <cp:revision>48</cp:revision>
  <cp:lastPrinted>2022-06-21T09:23:00Z</cp:lastPrinted>
  <dcterms:created xsi:type="dcterms:W3CDTF">2021-09-16T12:07:00Z</dcterms:created>
  <dcterms:modified xsi:type="dcterms:W3CDTF">2023-08-25T12:08:00Z</dcterms:modified>
</cp:coreProperties>
</file>